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78973" w14:textId="77777777" w:rsidR="00FE5B00" w:rsidRDefault="00FE5B00" w:rsidP="00FE5B00">
      <w:pPr>
        <w:pStyle w:val="paragraph"/>
        <w:spacing w:before="0" w:beforeAutospacing="0" w:after="0" w:afterAutospacing="0"/>
        <w:textAlignment w:val="baseline"/>
        <w:rPr>
          <w:rStyle w:val="eop"/>
          <w:rFonts w:ascii="Calibri" w:hAnsi="Calibri" w:cs="Calibri"/>
          <w:b/>
          <w:bCs/>
          <w:sz w:val="22"/>
          <w:szCs w:val="22"/>
        </w:rPr>
      </w:pPr>
      <w:r w:rsidRPr="00FE5B00">
        <w:rPr>
          <w:rStyle w:val="normaltextrun"/>
          <w:rFonts w:ascii="Calibri" w:hAnsi="Calibri" w:cs="Calibri"/>
          <w:b/>
          <w:bCs/>
          <w:sz w:val="22"/>
          <w:szCs w:val="22"/>
          <w:lang w:val="x-none"/>
        </w:rPr>
        <w:t>July 19</w:t>
      </w:r>
      <w:r>
        <w:rPr>
          <w:rStyle w:val="eop"/>
          <w:rFonts w:ascii="Calibri" w:hAnsi="Calibri" w:cs="Calibri"/>
          <w:b/>
          <w:bCs/>
          <w:sz w:val="22"/>
          <w:szCs w:val="22"/>
        </w:rPr>
        <w:t xml:space="preserve">, 2022 </w:t>
      </w:r>
    </w:p>
    <w:p w14:paraId="4581B5D6" w14:textId="665CFD5A" w:rsidR="00FE5B00" w:rsidRDefault="00FE5B00" w:rsidP="00FE5B00">
      <w:pPr>
        <w:pStyle w:val="paragraph"/>
        <w:spacing w:before="0" w:beforeAutospacing="0" w:after="0" w:afterAutospacing="0"/>
        <w:textAlignment w:val="baseline"/>
        <w:rPr>
          <w:rFonts w:ascii="Segoe UI" w:hAnsi="Segoe UI" w:cs="Segoe UI"/>
          <w:b/>
          <w:bCs/>
          <w:sz w:val="18"/>
          <w:szCs w:val="18"/>
        </w:rPr>
      </w:pPr>
      <w:r>
        <w:rPr>
          <w:rStyle w:val="eop"/>
          <w:rFonts w:ascii="Calibri" w:hAnsi="Calibri" w:cs="Calibri"/>
          <w:b/>
          <w:bCs/>
          <w:sz w:val="22"/>
          <w:szCs w:val="22"/>
        </w:rPr>
        <w:t xml:space="preserve">AHD </w:t>
      </w:r>
      <w:r w:rsidRPr="00FE5B00">
        <w:rPr>
          <w:rFonts w:ascii="Segoe UI" w:hAnsi="Segoe UI" w:cs="Segoe UI"/>
          <w:b/>
          <w:bCs/>
          <w:sz w:val="18"/>
          <w:szCs w:val="18"/>
        </w:rPr>
        <w:t xml:space="preserve">Objectives </w:t>
      </w:r>
    </w:p>
    <w:p w14:paraId="18704575" w14:textId="77777777" w:rsidR="00FE5B00" w:rsidRPr="00FE5B00" w:rsidRDefault="00FE5B00" w:rsidP="00FE5B00">
      <w:pPr>
        <w:pStyle w:val="paragraph"/>
        <w:spacing w:before="0" w:beforeAutospacing="0" w:after="0" w:afterAutospacing="0"/>
        <w:textAlignment w:val="baseline"/>
        <w:rPr>
          <w:rFonts w:ascii="Segoe UI" w:hAnsi="Segoe UI" w:cs="Segoe UI"/>
          <w:b/>
          <w:bCs/>
          <w:sz w:val="18"/>
          <w:szCs w:val="18"/>
        </w:rPr>
      </w:pPr>
    </w:p>
    <w:p w14:paraId="2A4B5F1C" w14:textId="77777777" w:rsidR="00FE5B00" w:rsidRPr="00FE5B00" w:rsidRDefault="00FE5B00" w:rsidP="00FE5B00">
      <w:pPr>
        <w:textAlignment w:val="baseline"/>
        <w:rPr>
          <w:rFonts w:ascii="Calibri" w:eastAsia="Times New Roman" w:hAnsi="Calibri" w:cs="Calibri"/>
          <w:sz w:val="22"/>
          <w:szCs w:val="22"/>
        </w:rPr>
      </w:pPr>
      <w:r w:rsidRPr="00FE5B00">
        <w:rPr>
          <w:rFonts w:ascii="Calibri" w:eastAsia="Times New Roman" w:hAnsi="Calibri" w:cs="Calibri"/>
          <w:b/>
          <w:bCs/>
          <w:u w:val="single"/>
        </w:rPr>
        <w:t>Infectious Disease Emergencies:</w:t>
      </w:r>
      <w:r w:rsidRPr="00FE5B00">
        <w:rPr>
          <w:rFonts w:ascii="Calibri" w:eastAsia="Times New Roman" w:hAnsi="Calibri" w:cs="Calibri"/>
        </w:rPr>
        <w:t> </w:t>
      </w:r>
    </w:p>
    <w:p w14:paraId="288C7BD5" w14:textId="77777777" w:rsidR="00FE5B00" w:rsidRPr="00FE5B00" w:rsidRDefault="00FE5B00" w:rsidP="00FE5B00">
      <w:pPr>
        <w:numPr>
          <w:ilvl w:val="0"/>
          <w:numId w:val="1"/>
        </w:numPr>
        <w:textAlignment w:val="baseline"/>
        <w:rPr>
          <w:rFonts w:ascii="Calibri" w:eastAsia="Times New Roman" w:hAnsi="Calibri" w:cs="Calibri"/>
          <w:sz w:val="22"/>
          <w:szCs w:val="22"/>
        </w:rPr>
      </w:pPr>
      <w:r w:rsidRPr="00FE5B00">
        <w:rPr>
          <w:rFonts w:ascii="Calibri" w:eastAsia="Times New Roman" w:hAnsi="Calibri" w:cs="Calibri"/>
          <w:sz w:val="22"/>
          <w:szCs w:val="22"/>
        </w:rPr>
        <w:t xml:space="preserve">Make a table and compare/contrast the clinical syndromes and CSF studies (cell count, differential, protein, and glucose values) of viral </w:t>
      </w:r>
      <w:proofErr w:type="gramStart"/>
      <w:r w:rsidRPr="00FE5B00">
        <w:rPr>
          <w:rFonts w:ascii="Calibri" w:eastAsia="Times New Roman" w:hAnsi="Calibri" w:cs="Calibri"/>
          <w:sz w:val="22"/>
          <w:szCs w:val="22"/>
        </w:rPr>
        <w:t>meningitis,  bacterial</w:t>
      </w:r>
      <w:proofErr w:type="gramEnd"/>
      <w:r w:rsidRPr="00FE5B00">
        <w:rPr>
          <w:rFonts w:ascii="Calibri" w:eastAsia="Times New Roman" w:hAnsi="Calibri" w:cs="Calibri"/>
          <w:sz w:val="22"/>
          <w:szCs w:val="22"/>
        </w:rPr>
        <w:t xml:space="preserve"> meningitis, and encephalitis. </w:t>
      </w:r>
    </w:p>
    <w:p w14:paraId="307758DF" w14:textId="77777777" w:rsidR="00FE5B00" w:rsidRPr="00FE5B00" w:rsidRDefault="00FE5B00" w:rsidP="00FE5B00">
      <w:pPr>
        <w:numPr>
          <w:ilvl w:val="0"/>
          <w:numId w:val="1"/>
        </w:numPr>
        <w:textAlignment w:val="baseline"/>
        <w:rPr>
          <w:rFonts w:ascii="Calibri" w:eastAsia="Times New Roman" w:hAnsi="Calibri" w:cs="Calibri"/>
          <w:sz w:val="22"/>
          <w:szCs w:val="22"/>
        </w:rPr>
      </w:pPr>
      <w:r w:rsidRPr="00FE5B00">
        <w:rPr>
          <w:rFonts w:ascii="Calibri" w:eastAsia="Times New Roman" w:hAnsi="Calibri" w:cs="Calibri"/>
          <w:sz w:val="22"/>
          <w:szCs w:val="22"/>
        </w:rPr>
        <w:t>Know the differential diagnosis to consider in viral meningitis, bacterial meningitis, and infectious encephalitis.  Know the appropriate diagnostic test to order on the CSF (or serum) to confirm the diagnosis (culture, PCR, ELISA) </w:t>
      </w:r>
    </w:p>
    <w:p w14:paraId="6D992938" w14:textId="77777777" w:rsidR="00FE5B00" w:rsidRPr="00FE5B00" w:rsidRDefault="00FE5B00" w:rsidP="00FE5B00">
      <w:pPr>
        <w:numPr>
          <w:ilvl w:val="0"/>
          <w:numId w:val="1"/>
        </w:numPr>
        <w:textAlignment w:val="baseline"/>
        <w:rPr>
          <w:rFonts w:ascii="Calibri" w:eastAsia="Times New Roman" w:hAnsi="Calibri" w:cs="Calibri"/>
          <w:sz w:val="22"/>
          <w:szCs w:val="22"/>
        </w:rPr>
      </w:pPr>
      <w:r w:rsidRPr="00FE5B00">
        <w:rPr>
          <w:rFonts w:ascii="Calibri" w:eastAsia="Times New Roman" w:hAnsi="Calibri" w:cs="Calibri"/>
          <w:sz w:val="22"/>
          <w:szCs w:val="22"/>
        </w:rPr>
        <w:t>Describe the appropriate management IN ORDER of priority for the patient in whom you are concerned about bacterial meningitis. List the circumstances in which a CT scan of the brain should be ordered before a lumbar puncture is performed. </w:t>
      </w:r>
    </w:p>
    <w:p w14:paraId="27CF2AC1" w14:textId="77777777" w:rsidR="00FE5B00" w:rsidRPr="00FE5B00" w:rsidRDefault="00FE5B00" w:rsidP="00FE5B00">
      <w:pPr>
        <w:numPr>
          <w:ilvl w:val="0"/>
          <w:numId w:val="1"/>
        </w:numPr>
        <w:textAlignment w:val="baseline"/>
        <w:rPr>
          <w:rFonts w:ascii="Calibri" w:eastAsia="Times New Roman" w:hAnsi="Calibri" w:cs="Calibri"/>
          <w:sz w:val="22"/>
          <w:szCs w:val="22"/>
        </w:rPr>
      </w:pPr>
      <w:r w:rsidRPr="00FE5B00">
        <w:rPr>
          <w:rFonts w:ascii="Calibri" w:eastAsia="Times New Roman" w:hAnsi="Calibri" w:cs="Calibri"/>
          <w:sz w:val="22"/>
          <w:szCs w:val="22"/>
        </w:rPr>
        <w:t>Make a table and compare/contrast the clinical spectrum of soft tissue infection including erysipelas, cellulitis, and necrotizing soft tissue infection. Know the differential diagnosis of the infectious organisms to consider in each of these infections.  </w:t>
      </w:r>
    </w:p>
    <w:p w14:paraId="51A7E6AF" w14:textId="20E22B99" w:rsidR="00FE5B00" w:rsidRDefault="00FE5B00" w:rsidP="00FE5B00">
      <w:pPr>
        <w:numPr>
          <w:ilvl w:val="0"/>
          <w:numId w:val="1"/>
        </w:numPr>
        <w:textAlignment w:val="baseline"/>
        <w:rPr>
          <w:rFonts w:ascii="Calibri" w:eastAsia="Times New Roman" w:hAnsi="Calibri" w:cs="Calibri"/>
          <w:sz w:val="22"/>
          <w:szCs w:val="22"/>
        </w:rPr>
      </w:pPr>
      <w:r w:rsidRPr="00FE5B00">
        <w:rPr>
          <w:rFonts w:ascii="Calibri" w:eastAsia="Times New Roman" w:hAnsi="Calibri" w:cs="Calibri"/>
          <w:sz w:val="22"/>
          <w:szCs w:val="22"/>
        </w:rPr>
        <w:t>Describe the appropriate empiric antibiotic therapy, imaging considerations (if any), and need for surgical intervention in the management of these infections. </w:t>
      </w:r>
    </w:p>
    <w:p w14:paraId="1FAF5245" w14:textId="77777777" w:rsidR="00FE5B00" w:rsidRPr="00FE5B00" w:rsidRDefault="00FE5B00" w:rsidP="00FE5B00">
      <w:pPr>
        <w:textAlignment w:val="baseline"/>
        <w:rPr>
          <w:rFonts w:ascii="Calibri" w:eastAsia="Times New Roman" w:hAnsi="Calibri" w:cs="Calibri"/>
          <w:sz w:val="22"/>
          <w:szCs w:val="22"/>
        </w:rPr>
      </w:pPr>
    </w:p>
    <w:p w14:paraId="5916A558" w14:textId="77777777" w:rsidR="00FE5B00" w:rsidRPr="00FE5B00" w:rsidRDefault="00FE5B00" w:rsidP="00FE5B00">
      <w:pPr>
        <w:textAlignment w:val="baseline"/>
        <w:rPr>
          <w:rFonts w:ascii="Segoe UI" w:eastAsia="Times New Roman" w:hAnsi="Segoe UI" w:cs="Segoe UI"/>
          <w:sz w:val="18"/>
          <w:szCs w:val="18"/>
        </w:rPr>
      </w:pPr>
      <w:r w:rsidRPr="00FE5B00">
        <w:rPr>
          <w:rFonts w:ascii="Calibri" w:eastAsia="Times New Roman" w:hAnsi="Calibri" w:cs="Calibri"/>
          <w:b/>
          <w:bCs/>
          <w:u w:val="single"/>
        </w:rPr>
        <w:t>Acute Pain Management</w:t>
      </w:r>
      <w:r w:rsidRPr="00FE5B00">
        <w:rPr>
          <w:rFonts w:ascii="Calibri" w:eastAsia="Times New Roman" w:hAnsi="Calibri" w:cs="Calibri"/>
        </w:rPr>
        <w:t> </w:t>
      </w:r>
    </w:p>
    <w:p w14:paraId="54D1F496" w14:textId="77777777" w:rsidR="00FE5B00" w:rsidRPr="00FE5B00" w:rsidRDefault="00FE5B00" w:rsidP="00FE5B00">
      <w:pPr>
        <w:pStyle w:val="ListParagraph"/>
        <w:numPr>
          <w:ilvl w:val="0"/>
          <w:numId w:val="1"/>
        </w:numPr>
        <w:textAlignment w:val="baseline"/>
        <w:rPr>
          <w:rFonts w:ascii="Segoe UI" w:eastAsia="Times New Roman" w:hAnsi="Segoe UI" w:cs="Segoe UI"/>
          <w:sz w:val="18"/>
          <w:szCs w:val="18"/>
        </w:rPr>
      </w:pPr>
      <w:r w:rsidRPr="00FE5B00">
        <w:rPr>
          <w:rFonts w:ascii="Calibri" w:eastAsia="Times New Roman" w:hAnsi="Calibri" w:cs="Calibri"/>
          <w:sz w:val="20"/>
          <w:szCs w:val="20"/>
        </w:rPr>
        <w:t>1.</w:t>
      </w:r>
      <w:r w:rsidRPr="00FE5B00">
        <w:rPr>
          <w:rFonts w:ascii="Times New Roman" w:eastAsia="Times New Roman" w:hAnsi="Times New Roman" w:cs="Times New Roman"/>
          <w:sz w:val="14"/>
          <w:szCs w:val="14"/>
        </w:rPr>
        <w:t>     </w:t>
      </w:r>
      <w:r w:rsidRPr="00FE5B00">
        <w:rPr>
          <w:rFonts w:ascii="Calibri" w:eastAsia="Times New Roman" w:hAnsi="Calibri" w:cs="Calibri"/>
        </w:rPr>
        <w:t>Describe the differences between somatic, visceral, and neurogenic pain and understand the different “pain scales” used for patients to describe the severity of their pain. </w:t>
      </w:r>
    </w:p>
    <w:p w14:paraId="15A1139C" w14:textId="77777777" w:rsidR="00FE5B00" w:rsidRPr="00FE5B00" w:rsidRDefault="00FE5B00" w:rsidP="00FE5B00">
      <w:pPr>
        <w:pStyle w:val="ListParagraph"/>
        <w:numPr>
          <w:ilvl w:val="0"/>
          <w:numId w:val="1"/>
        </w:numPr>
        <w:textAlignment w:val="baseline"/>
        <w:rPr>
          <w:rFonts w:ascii="Segoe UI" w:eastAsia="Times New Roman" w:hAnsi="Segoe UI" w:cs="Segoe UI"/>
          <w:sz w:val="18"/>
          <w:szCs w:val="18"/>
        </w:rPr>
      </w:pPr>
      <w:r w:rsidRPr="00FE5B00">
        <w:rPr>
          <w:rFonts w:ascii="Calibri" w:eastAsia="Times New Roman" w:hAnsi="Calibri" w:cs="Calibri"/>
        </w:rPr>
        <w:t>2.</w:t>
      </w:r>
      <w:r w:rsidRPr="00FE5B00">
        <w:rPr>
          <w:rFonts w:ascii="Times New Roman" w:eastAsia="Times New Roman" w:hAnsi="Times New Roman" w:cs="Times New Roman"/>
          <w:sz w:val="14"/>
          <w:szCs w:val="14"/>
        </w:rPr>
        <w:t>     </w:t>
      </w:r>
      <w:r w:rsidRPr="00FE5B00">
        <w:rPr>
          <w:rFonts w:ascii="Calibri" w:eastAsia="Times New Roman" w:hAnsi="Calibri" w:cs="Calibri"/>
        </w:rPr>
        <w:t>Describe the initial management of an opiate naïve patient who is in acute severe pain and who has normal renal function. Describe the initial management of the same patient who is in acute renal failure. </w:t>
      </w:r>
    </w:p>
    <w:p w14:paraId="5F79F779" w14:textId="77777777" w:rsidR="00FE5B00" w:rsidRPr="00FE5B00" w:rsidRDefault="00FE5B00" w:rsidP="00FE5B00">
      <w:pPr>
        <w:pStyle w:val="ListParagraph"/>
        <w:numPr>
          <w:ilvl w:val="0"/>
          <w:numId w:val="1"/>
        </w:numPr>
        <w:textAlignment w:val="baseline"/>
        <w:rPr>
          <w:rFonts w:ascii="Segoe UI" w:eastAsia="Times New Roman" w:hAnsi="Segoe UI" w:cs="Segoe UI"/>
          <w:sz w:val="18"/>
          <w:szCs w:val="18"/>
        </w:rPr>
      </w:pPr>
      <w:r w:rsidRPr="00FE5B00">
        <w:rPr>
          <w:rFonts w:ascii="Calibri" w:eastAsia="Times New Roman" w:hAnsi="Calibri" w:cs="Calibri"/>
        </w:rPr>
        <w:t>3.</w:t>
      </w:r>
      <w:r w:rsidRPr="00FE5B00">
        <w:rPr>
          <w:rFonts w:ascii="Times New Roman" w:eastAsia="Times New Roman" w:hAnsi="Times New Roman" w:cs="Times New Roman"/>
          <w:sz w:val="14"/>
          <w:szCs w:val="14"/>
        </w:rPr>
        <w:t>     </w:t>
      </w:r>
      <w:r w:rsidRPr="00FE5B00">
        <w:rPr>
          <w:rFonts w:ascii="Calibri" w:eastAsia="Times New Roman" w:hAnsi="Calibri" w:cs="Calibri"/>
        </w:rPr>
        <w:t>Describe the initial management of a patient with chronic long active opiate use who presents with the onset of severe acute on chronic pain. </w:t>
      </w:r>
    </w:p>
    <w:p w14:paraId="6517D8D0" w14:textId="77777777" w:rsidR="00FE5B00" w:rsidRPr="00FE5B00" w:rsidRDefault="00FE5B00" w:rsidP="00FE5B00">
      <w:pPr>
        <w:pStyle w:val="ListParagraph"/>
        <w:numPr>
          <w:ilvl w:val="0"/>
          <w:numId w:val="1"/>
        </w:numPr>
        <w:textAlignment w:val="baseline"/>
        <w:rPr>
          <w:rFonts w:ascii="Segoe UI" w:eastAsia="Times New Roman" w:hAnsi="Segoe UI" w:cs="Segoe UI"/>
          <w:sz w:val="18"/>
          <w:szCs w:val="18"/>
        </w:rPr>
      </w:pPr>
      <w:r w:rsidRPr="00FE5B00">
        <w:rPr>
          <w:rFonts w:ascii="Calibri" w:eastAsia="Times New Roman" w:hAnsi="Calibri" w:cs="Calibri"/>
        </w:rPr>
        <w:t>4.</w:t>
      </w:r>
      <w:r w:rsidRPr="00FE5B00">
        <w:rPr>
          <w:rFonts w:ascii="Times New Roman" w:eastAsia="Times New Roman" w:hAnsi="Times New Roman" w:cs="Times New Roman"/>
          <w:sz w:val="14"/>
          <w:szCs w:val="14"/>
        </w:rPr>
        <w:t>     </w:t>
      </w:r>
      <w:r w:rsidRPr="00FE5B00">
        <w:rPr>
          <w:rFonts w:ascii="Calibri" w:eastAsia="Times New Roman" w:hAnsi="Calibri" w:cs="Calibri"/>
        </w:rPr>
        <w:t>Understand the opiate equivalents and be able to convert different opiates from IV to oral based on these equivalents. (Make a table) </w:t>
      </w:r>
    </w:p>
    <w:p w14:paraId="5EE58711" w14:textId="77777777" w:rsidR="00FE5B00" w:rsidRPr="00FE5B00" w:rsidRDefault="00FE5B00" w:rsidP="00FE5B00">
      <w:pPr>
        <w:pStyle w:val="ListParagraph"/>
        <w:numPr>
          <w:ilvl w:val="0"/>
          <w:numId w:val="1"/>
        </w:numPr>
        <w:textAlignment w:val="baseline"/>
        <w:rPr>
          <w:rFonts w:ascii="Segoe UI" w:eastAsia="Times New Roman" w:hAnsi="Segoe UI" w:cs="Segoe UI"/>
          <w:sz w:val="18"/>
          <w:szCs w:val="18"/>
        </w:rPr>
      </w:pPr>
      <w:r w:rsidRPr="00FE5B00">
        <w:rPr>
          <w:rFonts w:ascii="Calibri" w:eastAsia="Times New Roman" w:hAnsi="Calibri" w:cs="Calibri"/>
        </w:rPr>
        <w:t>5.</w:t>
      </w:r>
      <w:r w:rsidRPr="00FE5B00">
        <w:rPr>
          <w:rFonts w:ascii="Times New Roman" w:eastAsia="Times New Roman" w:hAnsi="Times New Roman" w:cs="Times New Roman"/>
          <w:sz w:val="14"/>
          <w:szCs w:val="14"/>
        </w:rPr>
        <w:t>     </w:t>
      </w:r>
      <w:r w:rsidRPr="00FE5B00">
        <w:rPr>
          <w:rFonts w:ascii="Calibri" w:eastAsia="Times New Roman" w:hAnsi="Calibri" w:cs="Calibri"/>
        </w:rPr>
        <w:t>Know how to access the prescription drug monitoring program (PDMP or PMP) database to make informed decisions about opioid therapy. </w:t>
      </w:r>
    </w:p>
    <w:p w14:paraId="0430B46D" w14:textId="3879EAB5" w:rsidR="00FE5B00" w:rsidRDefault="00FE5B00"/>
    <w:p w14:paraId="14252241" w14:textId="77777777" w:rsidR="00FE5B00" w:rsidRDefault="00FE5B00" w:rsidP="00FE5B00">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u w:val="single"/>
        </w:rPr>
        <w:t>Sepsis Diagnosis and Management:</w:t>
      </w:r>
      <w:r>
        <w:rPr>
          <w:rStyle w:val="eop"/>
          <w:rFonts w:ascii="Calibri" w:hAnsi="Calibri" w:cs="Calibri"/>
        </w:rPr>
        <w:t> </w:t>
      </w:r>
    </w:p>
    <w:p w14:paraId="6F9FD44D" w14:textId="77777777" w:rsidR="00FE5B00" w:rsidRDefault="00FE5B00" w:rsidP="00FE5B00">
      <w:pPr>
        <w:pStyle w:val="paragraph"/>
        <w:numPr>
          <w:ilvl w:val="0"/>
          <w:numId w:val="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Define sepsis and septic shock according to the Third International Definition published in 2016. Define the SIRS criteria and describe its limitations.</w:t>
      </w:r>
      <w:r>
        <w:rPr>
          <w:rStyle w:val="eop"/>
          <w:rFonts w:ascii="Calibri" w:hAnsi="Calibri" w:cs="Calibri"/>
          <w:sz w:val="22"/>
          <w:szCs w:val="22"/>
        </w:rPr>
        <w:t> </w:t>
      </w:r>
    </w:p>
    <w:p w14:paraId="61A0931E" w14:textId="77777777" w:rsidR="00FE5B00" w:rsidRDefault="00FE5B00" w:rsidP="00FE5B00">
      <w:pPr>
        <w:pStyle w:val="paragraph"/>
        <w:numPr>
          <w:ilvl w:val="0"/>
          <w:numId w:val="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Describe the SOFA score and </w:t>
      </w:r>
      <w:proofErr w:type="spellStart"/>
      <w:r>
        <w:rPr>
          <w:rStyle w:val="spellingerror"/>
          <w:rFonts w:ascii="Calibri" w:hAnsi="Calibri" w:cs="Calibri"/>
          <w:sz w:val="22"/>
          <w:szCs w:val="22"/>
        </w:rPr>
        <w:t>qSOFA</w:t>
      </w:r>
      <w:proofErr w:type="spellEnd"/>
      <w:r>
        <w:rPr>
          <w:rStyle w:val="normaltextrun"/>
          <w:rFonts w:ascii="Calibri" w:hAnsi="Calibri" w:cs="Calibri"/>
          <w:sz w:val="22"/>
          <w:szCs w:val="22"/>
        </w:rPr>
        <w:t> score.</w:t>
      </w:r>
      <w:r>
        <w:rPr>
          <w:rStyle w:val="eop"/>
          <w:rFonts w:ascii="Calibri" w:hAnsi="Calibri" w:cs="Calibri"/>
          <w:sz w:val="22"/>
          <w:szCs w:val="22"/>
        </w:rPr>
        <w:t> </w:t>
      </w:r>
    </w:p>
    <w:p w14:paraId="6838DD8F" w14:textId="77777777" w:rsidR="00FE5B00" w:rsidRDefault="00FE5B00" w:rsidP="00FE5B00">
      <w:pPr>
        <w:pStyle w:val="paragraph"/>
        <w:numPr>
          <w:ilvl w:val="0"/>
          <w:numId w:val="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Describe the management of sepsis including the volume of resuscitation, the type of fluid recommended, goal MAP, timing of antibiotic therapy and the importance of source control.</w:t>
      </w:r>
      <w:r>
        <w:rPr>
          <w:rStyle w:val="eop"/>
          <w:rFonts w:ascii="Calibri" w:hAnsi="Calibri" w:cs="Calibri"/>
          <w:sz w:val="22"/>
          <w:szCs w:val="22"/>
        </w:rPr>
        <w:t> </w:t>
      </w:r>
    </w:p>
    <w:p w14:paraId="689893DC" w14:textId="77777777" w:rsidR="00FE5B00" w:rsidRDefault="00FE5B00" w:rsidP="00FE5B00">
      <w:pPr>
        <w:pStyle w:val="paragraph"/>
        <w:numPr>
          <w:ilvl w:val="0"/>
          <w:numId w:val="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Understand the prognosis and utility of lactate levels and the appropriate vasopressor to use in sepsis refractory to fluids. </w:t>
      </w:r>
      <w:r>
        <w:rPr>
          <w:rStyle w:val="eop"/>
          <w:rFonts w:ascii="Calibri" w:hAnsi="Calibri" w:cs="Calibri"/>
          <w:sz w:val="22"/>
          <w:szCs w:val="22"/>
        </w:rPr>
        <w:t> </w:t>
      </w:r>
    </w:p>
    <w:p w14:paraId="382E003D" w14:textId="77777777" w:rsidR="00FE5B00" w:rsidRDefault="00FE5B00"/>
    <w:sectPr w:rsidR="00FE5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5180C"/>
    <w:multiLevelType w:val="multilevel"/>
    <w:tmpl w:val="8D8A5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70736D"/>
    <w:multiLevelType w:val="multilevel"/>
    <w:tmpl w:val="E3B2E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26896781">
    <w:abstractNumId w:val="1"/>
  </w:num>
  <w:num w:numId="2" w16cid:durableId="1593129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B00"/>
    <w:rsid w:val="00DC262A"/>
    <w:rsid w:val="00FE5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19D5C3"/>
  <w15:chartTrackingRefBased/>
  <w15:docId w15:val="{DF04693F-1E39-6D41-9E34-E61EBB7E1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E5B0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E5B00"/>
  </w:style>
  <w:style w:type="character" w:customStyle="1" w:styleId="eop">
    <w:name w:val="eop"/>
    <w:basedOn w:val="DefaultParagraphFont"/>
    <w:rsid w:val="00FE5B00"/>
  </w:style>
  <w:style w:type="paragraph" w:styleId="ListParagraph">
    <w:name w:val="List Paragraph"/>
    <w:basedOn w:val="Normal"/>
    <w:uiPriority w:val="34"/>
    <w:qFormat/>
    <w:rsid w:val="00FE5B00"/>
    <w:pPr>
      <w:ind w:left="720"/>
      <w:contextualSpacing/>
    </w:pPr>
  </w:style>
  <w:style w:type="character" w:customStyle="1" w:styleId="spellingerror">
    <w:name w:val="spellingerror"/>
    <w:basedOn w:val="DefaultParagraphFont"/>
    <w:rsid w:val="00FE5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743649">
      <w:bodyDiv w:val="1"/>
      <w:marLeft w:val="0"/>
      <w:marRight w:val="0"/>
      <w:marTop w:val="0"/>
      <w:marBottom w:val="0"/>
      <w:divBdr>
        <w:top w:val="none" w:sz="0" w:space="0" w:color="auto"/>
        <w:left w:val="none" w:sz="0" w:space="0" w:color="auto"/>
        <w:bottom w:val="none" w:sz="0" w:space="0" w:color="auto"/>
        <w:right w:val="none" w:sz="0" w:space="0" w:color="auto"/>
      </w:divBdr>
      <w:divsChild>
        <w:div w:id="1759865494">
          <w:marLeft w:val="720"/>
          <w:marRight w:val="0"/>
          <w:marTop w:val="0"/>
          <w:marBottom w:val="0"/>
          <w:divBdr>
            <w:top w:val="none" w:sz="0" w:space="0" w:color="auto"/>
            <w:left w:val="none" w:sz="0" w:space="0" w:color="auto"/>
            <w:bottom w:val="none" w:sz="0" w:space="0" w:color="auto"/>
            <w:right w:val="none" w:sz="0" w:space="0" w:color="auto"/>
          </w:divBdr>
        </w:div>
        <w:div w:id="809516370">
          <w:marLeft w:val="720"/>
          <w:marRight w:val="0"/>
          <w:marTop w:val="0"/>
          <w:marBottom w:val="0"/>
          <w:divBdr>
            <w:top w:val="none" w:sz="0" w:space="0" w:color="auto"/>
            <w:left w:val="none" w:sz="0" w:space="0" w:color="auto"/>
            <w:bottom w:val="none" w:sz="0" w:space="0" w:color="auto"/>
            <w:right w:val="none" w:sz="0" w:space="0" w:color="auto"/>
          </w:divBdr>
        </w:div>
        <w:div w:id="458643622">
          <w:marLeft w:val="720"/>
          <w:marRight w:val="0"/>
          <w:marTop w:val="0"/>
          <w:marBottom w:val="0"/>
          <w:divBdr>
            <w:top w:val="none" w:sz="0" w:space="0" w:color="auto"/>
            <w:left w:val="none" w:sz="0" w:space="0" w:color="auto"/>
            <w:bottom w:val="none" w:sz="0" w:space="0" w:color="auto"/>
            <w:right w:val="none" w:sz="0" w:space="0" w:color="auto"/>
          </w:divBdr>
        </w:div>
        <w:div w:id="53740520">
          <w:marLeft w:val="720"/>
          <w:marRight w:val="0"/>
          <w:marTop w:val="0"/>
          <w:marBottom w:val="0"/>
          <w:divBdr>
            <w:top w:val="none" w:sz="0" w:space="0" w:color="auto"/>
            <w:left w:val="none" w:sz="0" w:space="0" w:color="auto"/>
            <w:bottom w:val="none" w:sz="0" w:space="0" w:color="auto"/>
            <w:right w:val="none" w:sz="0" w:space="0" w:color="auto"/>
          </w:divBdr>
        </w:div>
        <w:div w:id="1542203506">
          <w:marLeft w:val="720"/>
          <w:marRight w:val="0"/>
          <w:marTop w:val="0"/>
          <w:marBottom w:val="0"/>
          <w:divBdr>
            <w:top w:val="none" w:sz="0" w:space="0" w:color="auto"/>
            <w:left w:val="none" w:sz="0" w:space="0" w:color="auto"/>
            <w:bottom w:val="none" w:sz="0" w:space="0" w:color="auto"/>
            <w:right w:val="none" w:sz="0" w:space="0" w:color="auto"/>
          </w:divBdr>
        </w:div>
      </w:divsChild>
    </w:div>
    <w:div w:id="1710766207">
      <w:bodyDiv w:val="1"/>
      <w:marLeft w:val="0"/>
      <w:marRight w:val="0"/>
      <w:marTop w:val="0"/>
      <w:marBottom w:val="0"/>
      <w:divBdr>
        <w:top w:val="none" w:sz="0" w:space="0" w:color="auto"/>
        <w:left w:val="none" w:sz="0" w:space="0" w:color="auto"/>
        <w:bottom w:val="none" w:sz="0" w:space="0" w:color="auto"/>
        <w:right w:val="none" w:sz="0" w:space="0" w:color="auto"/>
      </w:divBdr>
    </w:div>
    <w:div w:id="1924601348">
      <w:bodyDiv w:val="1"/>
      <w:marLeft w:val="0"/>
      <w:marRight w:val="0"/>
      <w:marTop w:val="0"/>
      <w:marBottom w:val="0"/>
      <w:divBdr>
        <w:top w:val="none" w:sz="0" w:space="0" w:color="auto"/>
        <w:left w:val="none" w:sz="0" w:space="0" w:color="auto"/>
        <w:bottom w:val="none" w:sz="0" w:space="0" w:color="auto"/>
        <w:right w:val="none" w:sz="0" w:space="0" w:color="auto"/>
      </w:divBdr>
    </w:div>
    <w:div w:id="2012757148">
      <w:bodyDiv w:val="1"/>
      <w:marLeft w:val="0"/>
      <w:marRight w:val="0"/>
      <w:marTop w:val="0"/>
      <w:marBottom w:val="0"/>
      <w:divBdr>
        <w:top w:val="none" w:sz="0" w:space="0" w:color="auto"/>
        <w:left w:val="none" w:sz="0" w:space="0" w:color="auto"/>
        <w:bottom w:val="none" w:sz="0" w:space="0" w:color="auto"/>
        <w:right w:val="none" w:sz="0" w:space="0" w:color="auto"/>
      </w:divBdr>
      <w:divsChild>
        <w:div w:id="1539584818">
          <w:marLeft w:val="0"/>
          <w:marRight w:val="0"/>
          <w:marTop w:val="0"/>
          <w:marBottom w:val="0"/>
          <w:divBdr>
            <w:top w:val="none" w:sz="0" w:space="0" w:color="auto"/>
            <w:left w:val="none" w:sz="0" w:space="0" w:color="auto"/>
            <w:bottom w:val="none" w:sz="0" w:space="0" w:color="auto"/>
            <w:right w:val="none" w:sz="0" w:space="0" w:color="auto"/>
          </w:divBdr>
        </w:div>
        <w:div w:id="500435210">
          <w:marLeft w:val="0"/>
          <w:marRight w:val="0"/>
          <w:marTop w:val="0"/>
          <w:marBottom w:val="0"/>
          <w:divBdr>
            <w:top w:val="none" w:sz="0" w:space="0" w:color="auto"/>
            <w:left w:val="none" w:sz="0" w:space="0" w:color="auto"/>
            <w:bottom w:val="none" w:sz="0" w:space="0" w:color="auto"/>
            <w:right w:val="none" w:sz="0" w:space="0" w:color="auto"/>
          </w:divBdr>
        </w:div>
        <w:div w:id="1610118733">
          <w:marLeft w:val="0"/>
          <w:marRight w:val="0"/>
          <w:marTop w:val="0"/>
          <w:marBottom w:val="0"/>
          <w:divBdr>
            <w:top w:val="none" w:sz="0" w:space="0" w:color="auto"/>
            <w:left w:val="none" w:sz="0" w:space="0" w:color="auto"/>
            <w:bottom w:val="none" w:sz="0" w:space="0" w:color="auto"/>
            <w:right w:val="none" w:sz="0" w:space="0" w:color="auto"/>
          </w:divBdr>
        </w:div>
        <w:div w:id="397290911">
          <w:marLeft w:val="0"/>
          <w:marRight w:val="0"/>
          <w:marTop w:val="0"/>
          <w:marBottom w:val="0"/>
          <w:divBdr>
            <w:top w:val="none" w:sz="0" w:space="0" w:color="auto"/>
            <w:left w:val="none" w:sz="0" w:space="0" w:color="auto"/>
            <w:bottom w:val="none" w:sz="0" w:space="0" w:color="auto"/>
            <w:right w:val="none" w:sz="0" w:space="0" w:color="auto"/>
          </w:divBdr>
        </w:div>
        <w:div w:id="988631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Young</dc:creator>
  <cp:keywords/>
  <dc:description/>
  <cp:lastModifiedBy>Kristen Young</cp:lastModifiedBy>
  <cp:revision>1</cp:revision>
  <dcterms:created xsi:type="dcterms:W3CDTF">2022-07-10T15:54:00Z</dcterms:created>
  <dcterms:modified xsi:type="dcterms:W3CDTF">2022-07-10T16:04:00Z</dcterms:modified>
</cp:coreProperties>
</file>