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C095" w14:textId="5D958F09" w:rsidR="00396502" w:rsidRPr="009E158E" w:rsidRDefault="009E158E" w:rsidP="009E158E">
      <w:pPr>
        <w:jc w:val="center"/>
        <w:rPr>
          <w:rFonts w:ascii="Arial" w:hAnsi="Arial" w:cs="Arial"/>
          <w:b/>
          <w:bCs/>
        </w:rPr>
      </w:pPr>
      <w:r w:rsidRPr="009E158E">
        <w:rPr>
          <w:rFonts w:ascii="Arial" w:hAnsi="Arial" w:cs="Arial"/>
          <w:b/>
          <w:bCs/>
        </w:rPr>
        <w:t xml:space="preserve">January 17, 2023 </w:t>
      </w:r>
      <w:r w:rsidRPr="009E158E">
        <w:rPr>
          <w:rFonts w:ascii="Arial" w:hAnsi="Arial" w:cs="Arial"/>
          <w:b/>
          <w:bCs/>
        </w:rPr>
        <w:br/>
        <w:t>AHD Objectives</w:t>
      </w:r>
    </w:p>
    <w:p w14:paraId="5C42E170" w14:textId="23316649" w:rsidR="009E158E" w:rsidRPr="009E158E" w:rsidRDefault="009E158E" w:rsidP="009E158E">
      <w:pPr>
        <w:pStyle w:val="NormalWeb"/>
        <w:rPr>
          <w:rFonts w:ascii="Arial" w:hAnsi="Arial" w:cs="Arial"/>
        </w:rPr>
      </w:pPr>
      <w:r w:rsidRPr="009E158E">
        <w:rPr>
          <w:rFonts w:ascii="Arial" w:hAnsi="Arial" w:cs="Arial"/>
          <w:b/>
          <w:bCs/>
        </w:rPr>
        <w:t xml:space="preserve">Hyperkalemia </w:t>
      </w:r>
      <w:r w:rsidRPr="009E158E">
        <w:rPr>
          <w:rFonts w:ascii="Arial" w:hAnsi="Arial" w:cs="Arial"/>
          <w:b/>
          <w:bCs/>
        </w:rPr>
        <w:t xml:space="preserve">– Dr. </w:t>
      </w:r>
      <w:proofErr w:type="spellStart"/>
      <w:r w:rsidRPr="009E158E">
        <w:rPr>
          <w:rFonts w:ascii="Arial" w:hAnsi="Arial" w:cs="Arial"/>
          <w:b/>
          <w:bCs/>
        </w:rPr>
        <w:t>Nimri</w:t>
      </w:r>
      <w:proofErr w:type="spellEnd"/>
      <w:r w:rsidRPr="009E158E">
        <w:rPr>
          <w:rFonts w:ascii="Arial" w:hAnsi="Arial" w:cs="Arial"/>
          <w:b/>
          <w:bCs/>
        </w:rPr>
        <w:t xml:space="preserve"> </w:t>
      </w:r>
    </w:p>
    <w:p w14:paraId="0CCF5D35" w14:textId="77777777" w:rsidR="009E158E" w:rsidRPr="009E158E" w:rsidRDefault="009E158E" w:rsidP="009E158E">
      <w:pPr>
        <w:pStyle w:val="NormalWeb"/>
        <w:numPr>
          <w:ilvl w:val="0"/>
          <w:numId w:val="4"/>
        </w:numPr>
        <w:rPr>
          <w:rFonts w:ascii="Arial" w:hAnsi="Arial" w:cs="Arial"/>
        </w:rPr>
      </w:pPr>
      <w:r w:rsidRPr="009E158E">
        <w:rPr>
          <w:rFonts w:ascii="Arial" w:hAnsi="Arial" w:cs="Arial"/>
        </w:rPr>
        <w:t xml:space="preserve">Describe the laboratory evaluation that must be obtained to work up the hyperkalemic patient. (Comment on </w:t>
      </w:r>
      <w:proofErr w:type="spellStart"/>
      <w:r w:rsidRPr="009E158E">
        <w:rPr>
          <w:rFonts w:ascii="Arial" w:hAnsi="Arial" w:cs="Arial"/>
        </w:rPr>
        <w:t>pseudohyperkalemia</w:t>
      </w:r>
      <w:proofErr w:type="spellEnd"/>
      <w:r w:rsidRPr="009E158E">
        <w:rPr>
          <w:rFonts w:ascii="Arial" w:hAnsi="Arial" w:cs="Arial"/>
        </w:rPr>
        <w:t xml:space="preserve">, EKG findings and sensitivity, and the required urine studies.) </w:t>
      </w:r>
    </w:p>
    <w:p w14:paraId="0A3773BA" w14:textId="77777777" w:rsidR="009E158E" w:rsidRPr="009E158E" w:rsidRDefault="009E158E" w:rsidP="009E158E">
      <w:pPr>
        <w:pStyle w:val="NormalWeb"/>
        <w:numPr>
          <w:ilvl w:val="0"/>
          <w:numId w:val="4"/>
        </w:numPr>
        <w:rPr>
          <w:rFonts w:ascii="Arial" w:hAnsi="Arial" w:cs="Arial"/>
        </w:rPr>
      </w:pPr>
      <w:r w:rsidRPr="009E158E">
        <w:rPr>
          <w:rFonts w:ascii="Arial" w:hAnsi="Arial" w:cs="Arial"/>
        </w:rPr>
        <w:t xml:space="preserve">Describe the 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 </w:t>
      </w:r>
    </w:p>
    <w:p w14:paraId="0C84C33E" w14:textId="75E584FF" w:rsidR="009E158E" w:rsidRPr="009E158E" w:rsidRDefault="009E158E" w:rsidP="009E158E">
      <w:pPr>
        <w:pStyle w:val="NormalWeb"/>
        <w:numPr>
          <w:ilvl w:val="0"/>
          <w:numId w:val="4"/>
        </w:numPr>
        <w:rPr>
          <w:rFonts w:ascii="Arial" w:hAnsi="Arial" w:cs="Arial"/>
        </w:rPr>
      </w:pPr>
      <w:r w:rsidRPr="009E158E">
        <w:rPr>
          <w:rFonts w:ascii="Arial" w:hAnsi="Arial" w:cs="Arial"/>
        </w:rPr>
        <w:t>Know when to hospitalize and when to treat hyperkalemia.</w:t>
      </w:r>
    </w:p>
    <w:p w14:paraId="4291D87F" w14:textId="15B21416" w:rsidR="009E158E" w:rsidRPr="009E158E" w:rsidRDefault="009E158E" w:rsidP="009E158E">
      <w:pPr>
        <w:pStyle w:val="NormalWeb"/>
        <w:rPr>
          <w:rFonts w:ascii="Arial" w:hAnsi="Arial" w:cs="Arial"/>
        </w:rPr>
      </w:pPr>
      <w:r w:rsidRPr="009E158E">
        <w:rPr>
          <w:rFonts w:ascii="Arial" w:hAnsi="Arial" w:cs="Arial"/>
          <w:b/>
          <w:bCs/>
        </w:rPr>
        <w:t xml:space="preserve">Hyponatremia </w:t>
      </w:r>
      <w:r w:rsidRPr="009E158E">
        <w:rPr>
          <w:rFonts w:ascii="Arial" w:hAnsi="Arial" w:cs="Arial"/>
          <w:b/>
          <w:bCs/>
        </w:rPr>
        <w:t xml:space="preserve">– Dr. </w:t>
      </w:r>
      <w:proofErr w:type="spellStart"/>
      <w:r w:rsidRPr="009E158E">
        <w:rPr>
          <w:rFonts w:ascii="Arial" w:hAnsi="Arial" w:cs="Arial"/>
          <w:b/>
          <w:bCs/>
        </w:rPr>
        <w:t>Schinker</w:t>
      </w:r>
      <w:proofErr w:type="spellEnd"/>
      <w:r w:rsidRPr="009E158E">
        <w:rPr>
          <w:rFonts w:ascii="Arial" w:hAnsi="Arial" w:cs="Arial"/>
          <w:b/>
          <w:bCs/>
        </w:rPr>
        <w:t xml:space="preserve"> </w:t>
      </w:r>
    </w:p>
    <w:p w14:paraId="702B5FD1"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Define hyponatremia (mild, moderate, and severe), and specifically the time frame of acute versus chronic hyponatremia. </w:t>
      </w:r>
    </w:p>
    <w:p w14:paraId="4B07D368"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signs and symptoms of hyponatremia from subtle to severe. </w:t>
      </w:r>
    </w:p>
    <w:p w14:paraId="064607A3"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initial management of a patient with severe, symptomatic hyponatremia. </w:t>
      </w:r>
    </w:p>
    <w:p w14:paraId="479FBD4C"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Give the differential diagnosis for the following: </w:t>
      </w:r>
    </w:p>
    <w:p w14:paraId="562DF894"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Hypertonic hyponatremia </w:t>
      </w:r>
    </w:p>
    <w:p w14:paraId="3CA63C27"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Isotonic hyponatremia </w:t>
      </w:r>
    </w:p>
    <w:p w14:paraId="505E7DB5" w14:textId="77777777" w:rsidR="009E158E" w:rsidRPr="009E158E" w:rsidRDefault="009E158E" w:rsidP="009E158E">
      <w:pPr>
        <w:pStyle w:val="NormalWeb"/>
        <w:numPr>
          <w:ilvl w:val="1"/>
          <w:numId w:val="9"/>
        </w:numPr>
        <w:shd w:val="clear" w:color="auto" w:fill="FFFFFF"/>
        <w:rPr>
          <w:rFonts w:ascii="Arial" w:hAnsi="Arial" w:cs="Arial"/>
        </w:rPr>
      </w:pPr>
      <w:r w:rsidRPr="009E158E">
        <w:rPr>
          <w:rFonts w:ascii="Arial" w:hAnsi="Arial" w:cs="Arial"/>
        </w:rPr>
        <w:t xml:space="preserve">Hypotonic hyponatremia (What is the serum osmolality threshold for this?) </w:t>
      </w:r>
    </w:p>
    <w:p w14:paraId="540964EA" w14:textId="7777777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What is the first step in determining the etiology of a HYPOTONIC hyponatremia? </w:t>
      </w:r>
    </w:p>
    <w:p w14:paraId="18E89EDB" w14:textId="320534E7"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the urine studies and lab findings (urine osmolality and/or urine sodium) that can help distinguish between the different causes of HYPOTONIC hyponatremia. Know the management of each of these diagnoses. </w:t>
      </w:r>
    </w:p>
    <w:p w14:paraId="6E25F5D2" w14:textId="567AED13" w:rsidR="009E158E" w:rsidRPr="009E158E" w:rsidRDefault="009E158E" w:rsidP="009E158E">
      <w:pPr>
        <w:pStyle w:val="NormalWeb"/>
        <w:numPr>
          <w:ilvl w:val="0"/>
          <w:numId w:val="9"/>
        </w:numPr>
        <w:shd w:val="clear" w:color="auto" w:fill="FFFFFF"/>
        <w:rPr>
          <w:rFonts w:ascii="Arial" w:hAnsi="Arial" w:cs="Arial"/>
        </w:rPr>
      </w:pPr>
      <w:r w:rsidRPr="009E158E">
        <w:rPr>
          <w:rFonts w:ascii="Arial" w:hAnsi="Arial" w:cs="Arial"/>
        </w:rPr>
        <w:t xml:space="preserve">Describe how to determine the free water deficit in a patient with hypernatremia and how to manage the patient to avoid osmotic demyelination. </w:t>
      </w:r>
    </w:p>
    <w:p w14:paraId="043E0141" w14:textId="6BB95B71" w:rsidR="009E158E" w:rsidRPr="009E158E" w:rsidRDefault="009E158E">
      <w:pPr>
        <w:rPr>
          <w:rFonts w:ascii="Arial" w:hAnsi="Arial" w:cs="Arial"/>
        </w:rPr>
      </w:pPr>
    </w:p>
    <w:p w14:paraId="721817C4" w14:textId="68FC9F8D" w:rsidR="009E158E" w:rsidRPr="009E158E" w:rsidRDefault="009E158E" w:rsidP="009E158E">
      <w:pPr>
        <w:pStyle w:val="NormalWeb"/>
        <w:rPr>
          <w:rFonts w:ascii="Arial" w:hAnsi="Arial" w:cs="Arial"/>
          <w:b/>
          <w:bCs/>
        </w:rPr>
      </w:pPr>
      <w:r w:rsidRPr="009E158E">
        <w:rPr>
          <w:rFonts w:ascii="Arial" w:hAnsi="Arial" w:cs="Arial"/>
          <w:b/>
          <w:bCs/>
        </w:rPr>
        <w:t xml:space="preserve">Proteinuria </w:t>
      </w:r>
      <w:r w:rsidRPr="009E158E">
        <w:rPr>
          <w:rFonts w:ascii="Arial" w:hAnsi="Arial" w:cs="Arial"/>
          <w:b/>
          <w:bCs/>
        </w:rPr>
        <w:t xml:space="preserve">– Dr. Barney </w:t>
      </w:r>
    </w:p>
    <w:p w14:paraId="4D60254A" w14:textId="7C8367F0" w:rsidR="009E158E" w:rsidRPr="009E158E" w:rsidRDefault="009E158E" w:rsidP="009E158E">
      <w:pPr>
        <w:pStyle w:val="NormalWeb"/>
        <w:numPr>
          <w:ilvl w:val="0"/>
          <w:numId w:val="10"/>
        </w:numPr>
        <w:rPr>
          <w:rFonts w:ascii="Arial" w:hAnsi="Arial" w:cs="Arial"/>
        </w:rPr>
      </w:pPr>
      <w:r w:rsidRPr="009E158E">
        <w:rPr>
          <w:rFonts w:ascii="Arial" w:hAnsi="Arial" w:cs="Arial"/>
        </w:rPr>
        <w:t xml:space="preserve">Know how much proteinuria and albuminuria is considered within normal limits in a 24-hour urine collection (or on spot testing). </w:t>
      </w:r>
    </w:p>
    <w:p w14:paraId="02F9F69C" w14:textId="77777777" w:rsidR="009E158E" w:rsidRPr="009E158E" w:rsidRDefault="009E158E" w:rsidP="009E158E">
      <w:pPr>
        <w:pStyle w:val="NormalWeb"/>
        <w:numPr>
          <w:ilvl w:val="0"/>
          <w:numId w:val="10"/>
        </w:numPr>
        <w:rPr>
          <w:rFonts w:ascii="Arial" w:hAnsi="Arial" w:cs="Arial"/>
        </w:rPr>
      </w:pPr>
      <w:r w:rsidRPr="009E158E">
        <w:rPr>
          <w:rFonts w:ascii="Arial" w:hAnsi="Arial" w:cs="Arial"/>
        </w:rPr>
        <w:t xml:space="preserve">Know the three mechanisms of excessive protein excretion in the urine. </w:t>
      </w:r>
    </w:p>
    <w:p w14:paraId="2FF31875" w14:textId="77777777" w:rsidR="009E158E" w:rsidRPr="009E158E" w:rsidRDefault="009E158E" w:rsidP="009E158E">
      <w:pPr>
        <w:pStyle w:val="NormalWeb"/>
        <w:numPr>
          <w:ilvl w:val="0"/>
          <w:numId w:val="10"/>
        </w:numPr>
        <w:rPr>
          <w:rFonts w:ascii="Arial" w:hAnsi="Arial" w:cs="Arial"/>
        </w:rPr>
      </w:pPr>
      <w:r w:rsidRPr="009E158E">
        <w:rPr>
          <w:rFonts w:ascii="Arial" w:hAnsi="Arial" w:cs="Arial"/>
        </w:rPr>
        <w:t>Know the approach to the patient with a positive dipstick test for proteinuria and its limitations</w:t>
      </w:r>
      <w:r w:rsidRPr="009E158E">
        <w:rPr>
          <w:rFonts w:ascii="Arial" w:hAnsi="Arial" w:cs="Arial"/>
        </w:rPr>
        <w:t xml:space="preserve"> </w:t>
      </w:r>
      <w:r w:rsidRPr="009E158E">
        <w:rPr>
          <w:rFonts w:ascii="Arial" w:hAnsi="Arial" w:cs="Arial"/>
        </w:rPr>
        <w:t>to detecting proteinuria compared to other quantification techniques.</w:t>
      </w:r>
    </w:p>
    <w:p w14:paraId="3064BDE7" w14:textId="77777777" w:rsidR="009E158E" w:rsidRPr="009E158E" w:rsidRDefault="009E158E" w:rsidP="009E158E">
      <w:pPr>
        <w:pStyle w:val="NormalWeb"/>
        <w:numPr>
          <w:ilvl w:val="0"/>
          <w:numId w:val="10"/>
        </w:numPr>
        <w:rPr>
          <w:rFonts w:ascii="Arial" w:hAnsi="Arial" w:cs="Arial"/>
        </w:rPr>
      </w:pPr>
      <w:r w:rsidRPr="009E158E">
        <w:rPr>
          <w:rFonts w:ascii="Arial" w:hAnsi="Arial" w:cs="Arial"/>
        </w:rPr>
        <w:t xml:space="preserve">Understand the indications for 24-hour urine protein quantification, spot urine sampling for protein/creatinine ratio and albumin/creatinine ratio, and urine protein electrophoresis. </w:t>
      </w:r>
    </w:p>
    <w:p w14:paraId="26921F80" w14:textId="24AA329F" w:rsidR="009E158E" w:rsidRPr="009E158E" w:rsidRDefault="009E158E" w:rsidP="009E158E">
      <w:pPr>
        <w:pStyle w:val="NormalWeb"/>
        <w:numPr>
          <w:ilvl w:val="0"/>
          <w:numId w:val="10"/>
        </w:numPr>
        <w:rPr>
          <w:rFonts w:ascii="Arial" w:hAnsi="Arial" w:cs="Arial"/>
        </w:rPr>
      </w:pPr>
      <w:r w:rsidRPr="009E158E">
        <w:rPr>
          <w:rFonts w:ascii="Arial" w:hAnsi="Arial" w:cs="Arial"/>
        </w:rPr>
        <w:t xml:space="preserve">Describe the appropriate work up to evaluate a patient with proteinuria. </w:t>
      </w:r>
    </w:p>
    <w:p w14:paraId="40F5FAE2" w14:textId="77777777" w:rsidR="009E158E" w:rsidRPr="009E158E" w:rsidRDefault="009E158E">
      <w:pPr>
        <w:rPr>
          <w:rFonts w:ascii="Arial" w:hAnsi="Arial" w:cs="Arial"/>
        </w:rPr>
      </w:pPr>
    </w:p>
    <w:sectPr w:rsidR="009E158E" w:rsidRPr="009E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99D"/>
    <w:multiLevelType w:val="multilevel"/>
    <w:tmpl w:val="EBA820E0"/>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152DD"/>
    <w:multiLevelType w:val="multilevel"/>
    <w:tmpl w:val="731C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82B09"/>
    <w:multiLevelType w:val="multilevel"/>
    <w:tmpl w:val="7598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357D5"/>
    <w:multiLevelType w:val="multilevel"/>
    <w:tmpl w:val="96609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37F66"/>
    <w:multiLevelType w:val="multilevel"/>
    <w:tmpl w:val="988A6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028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CF4770"/>
    <w:multiLevelType w:val="multilevel"/>
    <w:tmpl w:val="EBA820E0"/>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3016B"/>
    <w:multiLevelType w:val="multilevel"/>
    <w:tmpl w:val="0892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E16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1F6394"/>
    <w:multiLevelType w:val="multilevel"/>
    <w:tmpl w:val="A74A2C1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803458">
    <w:abstractNumId w:val="7"/>
  </w:num>
  <w:num w:numId="2" w16cid:durableId="816726493">
    <w:abstractNumId w:val="1"/>
  </w:num>
  <w:num w:numId="3" w16cid:durableId="154954580">
    <w:abstractNumId w:val="3"/>
  </w:num>
  <w:num w:numId="4" w16cid:durableId="1347707281">
    <w:abstractNumId w:val="2"/>
  </w:num>
  <w:num w:numId="5" w16cid:durableId="1201816632">
    <w:abstractNumId w:val="4"/>
  </w:num>
  <w:num w:numId="6" w16cid:durableId="2091147787">
    <w:abstractNumId w:val="9"/>
  </w:num>
  <w:num w:numId="7" w16cid:durableId="1224561618">
    <w:abstractNumId w:val="6"/>
  </w:num>
  <w:num w:numId="8" w16cid:durableId="1746802372">
    <w:abstractNumId w:val="0"/>
  </w:num>
  <w:num w:numId="9" w16cid:durableId="1810131784">
    <w:abstractNumId w:val="8"/>
  </w:num>
  <w:num w:numId="10" w16cid:durableId="789015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8E"/>
    <w:rsid w:val="00396502"/>
    <w:rsid w:val="007A3C3F"/>
    <w:rsid w:val="009E158E"/>
    <w:rsid w:val="00D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B8174"/>
  <w15:chartTrackingRefBased/>
  <w15:docId w15:val="{5AB5931A-4D5D-8B4C-BB4A-4AD0E6DC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5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5293">
      <w:bodyDiv w:val="1"/>
      <w:marLeft w:val="0"/>
      <w:marRight w:val="0"/>
      <w:marTop w:val="0"/>
      <w:marBottom w:val="0"/>
      <w:divBdr>
        <w:top w:val="none" w:sz="0" w:space="0" w:color="auto"/>
        <w:left w:val="none" w:sz="0" w:space="0" w:color="auto"/>
        <w:bottom w:val="none" w:sz="0" w:space="0" w:color="auto"/>
        <w:right w:val="none" w:sz="0" w:space="0" w:color="auto"/>
      </w:divBdr>
      <w:divsChild>
        <w:div w:id="1075786930">
          <w:marLeft w:val="0"/>
          <w:marRight w:val="0"/>
          <w:marTop w:val="0"/>
          <w:marBottom w:val="0"/>
          <w:divBdr>
            <w:top w:val="none" w:sz="0" w:space="0" w:color="auto"/>
            <w:left w:val="none" w:sz="0" w:space="0" w:color="auto"/>
            <w:bottom w:val="none" w:sz="0" w:space="0" w:color="auto"/>
            <w:right w:val="none" w:sz="0" w:space="0" w:color="auto"/>
          </w:divBdr>
          <w:divsChild>
            <w:div w:id="662927171">
              <w:marLeft w:val="0"/>
              <w:marRight w:val="0"/>
              <w:marTop w:val="0"/>
              <w:marBottom w:val="0"/>
              <w:divBdr>
                <w:top w:val="none" w:sz="0" w:space="0" w:color="auto"/>
                <w:left w:val="none" w:sz="0" w:space="0" w:color="auto"/>
                <w:bottom w:val="none" w:sz="0" w:space="0" w:color="auto"/>
                <w:right w:val="none" w:sz="0" w:space="0" w:color="auto"/>
              </w:divBdr>
              <w:divsChild>
                <w:div w:id="1673415022">
                  <w:marLeft w:val="0"/>
                  <w:marRight w:val="0"/>
                  <w:marTop w:val="0"/>
                  <w:marBottom w:val="0"/>
                  <w:divBdr>
                    <w:top w:val="none" w:sz="0" w:space="0" w:color="auto"/>
                    <w:left w:val="none" w:sz="0" w:space="0" w:color="auto"/>
                    <w:bottom w:val="none" w:sz="0" w:space="0" w:color="auto"/>
                    <w:right w:val="none" w:sz="0" w:space="0" w:color="auto"/>
                  </w:divBdr>
                </w:div>
              </w:divsChild>
            </w:div>
            <w:div w:id="1501002264">
              <w:marLeft w:val="0"/>
              <w:marRight w:val="0"/>
              <w:marTop w:val="0"/>
              <w:marBottom w:val="0"/>
              <w:divBdr>
                <w:top w:val="none" w:sz="0" w:space="0" w:color="auto"/>
                <w:left w:val="none" w:sz="0" w:space="0" w:color="auto"/>
                <w:bottom w:val="none" w:sz="0" w:space="0" w:color="auto"/>
                <w:right w:val="none" w:sz="0" w:space="0" w:color="auto"/>
              </w:divBdr>
              <w:divsChild>
                <w:div w:id="74323373">
                  <w:marLeft w:val="0"/>
                  <w:marRight w:val="0"/>
                  <w:marTop w:val="0"/>
                  <w:marBottom w:val="0"/>
                  <w:divBdr>
                    <w:top w:val="none" w:sz="0" w:space="0" w:color="auto"/>
                    <w:left w:val="none" w:sz="0" w:space="0" w:color="auto"/>
                    <w:bottom w:val="none" w:sz="0" w:space="0" w:color="auto"/>
                    <w:right w:val="none" w:sz="0" w:space="0" w:color="auto"/>
                  </w:divBdr>
                  <w:divsChild>
                    <w:div w:id="376129307">
                      <w:marLeft w:val="0"/>
                      <w:marRight w:val="0"/>
                      <w:marTop w:val="0"/>
                      <w:marBottom w:val="0"/>
                      <w:divBdr>
                        <w:top w:val="none" w:sz="0" w:space="0" w:color="auto"/>
                        <w:left w:val="none" w:sz="0" w:space="0" w:color="auto"/>
                        <w:bottom w:val="none" w:sz="0" w:space="0" w:color="auto"/>
                        <w:right w:val="none" w:sz="0" w:space="0" w:color="auto"/>
                      </w:divBdr>
                      <w:divsChild>
                        <w:div w:id="4589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3430">
                  <w:marLeft w:val="0"/>
                  <w:marRight w:val="0"/>
                  <w:marTop w:val="0"/>
                  <w:marBottom w:val="0"/>
                  <w:divBdr>
                    <w:top w:val="none" w:sz="0" w:space="0" w:color="auto"/>
                    <w:left w:val="none" w:sz="0" w:space="0" w:color="auto"/>
                    <w:bottom w:val="none" w:sz="0" w:space="0" w:color="auto"/>
                    <w:right w:val="none" w:sz="0" w:space="0" w:color="auto"/>
                  </w:divBdr>
                  <w:divsChild>
                    <w:div w:id="1566992615">
                      <w:marLeft w:val="0"/>
                      <w:marRight w:val="0"/>
                      <w:marTop w:val="0"/>
                      <w:marBottom w:val="0"/>
                      <w:divBdr>
                        <w:top w:val="none" w:sz="0" w:space="0" w:color="auto"/>
                        <w:left w:val="none" w:sz="0" w:space="0" w:color="auto"/>
                        <w:bottom w:val="none" w:sz="0" w:space="0" w:color="auto"/>
                        <w:right w:val="none" w:sz="0" w:space="0" w:color="auto"/>
                      </w:divBdr>
                      <w:divsChild>
                        <w:div w:id="3282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4736">
                  <w:marLeft w:val="0"/>
                  <w:marRight w:val="0"/>
                  <w:marTop w:val="0"/>
                  <w:marBottom w:val="0"/>
                  <w:divBdr>
                    <w:top w:val="none" w:sz="0" w:space="0" w:color="auto"/>
                    <w:left w:val="none" w:sz="0" w:space="0" w:color="auto"/>
                    <w:bottom w:val="none" w:sz="0" w:space="0" w:color="auto"/>
                    <w:right w:val="none" w:sz="0" w:space="0" w:color="auto"/>
                  </w:divBdr>
                  <w:divsChild>
                    <w:div w:id="921523888">
                      <w:marLeft w:val="0"/>
                      <w:marRight w:val="0"/>
                      <w:marTop w:val="0"/>
                      <w:marBottom w:val="0"/>
                      <w:divBdr>
                        <w:top w:val="none" w:sz="0" w:space="0" w:color="auto"/>
                        <w:left w:val="none" w:sz="0" w:space="0" w:color="auto"/>
                        <w:bottom w:val="none" w:sz="0" w:space="0" w:color="auto"/>
                        <w:right w:val="none" w:sz="0" w:space="0" w:color="auto"/>
                      </w:divBdr>
                      <w:divsChild>
                        <w:div w:id="1996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7216">
              <w:marLeft w:val="0"/>
              <w:marRight w:val="0"/>
              <w:marTop w:val="0"/>
              <w:marBottom w:val="0"/>
              <w:divBdr>
                <w:top w:val="none" w:sz="0" w:space="0" w:color="auto"/>
                <w:left w:val="none" w:sz="0" w:space="0" w:color="auto"/>
                <w:bottom w:val="none" w:sz="0" w:space="0" w:color="auto"/>
                <w:right w:val="none" w:sz="0" w:space="0" w:color="auto"/>
              </w:divBdr>
              <w:divsChild>
                <w:div w:id="1094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952">
      <w:bodyDiv w:val="1"/>
      <w:marLeft w:val="0"/>
      <w:marRight w:val="0"/>
      <w:marTop w:val="0"/>
      <w:marBottom w:val="0"/>
      <w:divBdr>
        <w:top w:val="none" w:sz="0" w:space="0" w:color="auto"/>
        <w:left w:val="none" w:sz="0" w:space="0" w:color="auto"/>
        <w:bottom w:val="none" w:sz="0" w:space="0" w:color="auto"/>
        <w:right w:val="none" w:sz="0" w:space="0" w:color="auto"/>
      </w:divBdr>
      <w:divsChild>
        <w:div w:id="604919509">
          <w:marLeft w:val="0"/>
          <w:marRight w:val="0"/>
          <w:marTop w:val="0"/>
          <w:marBottom w:val="0"/>
          <w:divBdr>
            <w:top w:val="none" w:sz="0" w:space="0" w:color="auto"/>
            <w:left w:val="none" w:sz="0" w:space="0" w:color="auto"/>
            <w:bottom w:val="none" w:sz="0" w:space="0" w:color="auto"/>
            <w:right w:val="none" w:sz="0" w:space="0" w:color="auto"/>
          </w:divBdr>
          <w:divsChild>
            <w:div w:id="940527409">
              <w:marLeft w:val="0"/>
              <w:marRight w:val="0"/>
              <w:marTop w:val="0"/>
              <w:marBottom w:val="0"/>
              <w:divBdr>
                <w:top w:val="none" w:sz="0" w:space="0" w:color="auto"/>
                <w:left w:val="none" w:sz="0" w:space="0" w:color="auto"/>
                <w:bottom w:val="none" w:sz="0" w:space="0" w:color="auto"/>
                <w:right w:val="none" w:sz="0" w:space="0" w:color="auto"/>
              </w:divBdr>
              <w:divsChild>
                <w:div w:id="19146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Young</dc:creator>
  <cp:keywords/>
  <dc:description/>
  <cp:lastModifiedBy>Kristen Young</cp:lastModifiedBy>
  <cp:revision>1</cp:revision>
  <dcterms:created xsi:type="dcterms:W3CDTF">2023-01-03T21:19:00Z</dcterms:created>
  <dcterms:modified xsi:type="dcterms:W3CDTF">2023-01-03T21:24:00Z</dcterms:modified>
</cp:coreProperties>
</file>