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48BD" w14:textId="63937694" w:rsidR="000031A4" w:rsidRPr="00C33F0B" w:rsidRDefault="00690FAC" w:rsidP="00C33F0B">
      <w:pPr>
        <w:jc w:val="center"/>
        <w:rPr>
          <w:b/>
          <w:bCs/>
          <w:u w:val="single"/>
        </w:rPr>
      </w:pPr>
      <w:r w:rsidRPr="00690FAC">
        <w:rPr>
          <w:b/>
          <w:bCs/>
          <w:u w:val="single"/>
        </w:rPr>
        <w:t>July 28, 2020 AHD Learning Objectives</w:t>
      </w:r>
    </w:p>
    <w:p w14:paraId="72561625" w14:textId="77777777" w:rsidR="00480878" w:rsidRDefault="00480878" w:rsidP="000031A4">
      <w:pPr>
        <w:rPr>
          <w:b/>
          <w:u w:val="single"/>
        </w:rPr>
      </w:pPr>
    </w:p>
    <w:p w14:paraId="01F767AE" w14:textId="77777777" w:rsidR="00480878" w:rsidRDefault="00480878" w:rsidP="00480878"/>
    <w:p w14:paraId="0B514146" w14:textId="7C894086" w:rsidR="00480878" w:rsidRDefault="00480878" w:rsidP="00480878">
      <w:pPr>
        <w:rPr>
          <w:b/>
          <w:u w:val="single"/>
        </w:rPr>
      </w:pPr>
      <w:r>
        <w:rPr>
          <w:b/>
          <w:u w:val="single"/>
        </w:rPr>
        <w:t>VTE</w:t>
      </w:r>
      <w:r w:rsidRPr="005D028E">
        <w:rPr>
          <w:b/>
          <w:u w:val="single"/>
        </w:rPr>
        <w:t xml:space="preserve"> prevention</w:t>
      </w:r>
    </w:p>
    <w:p w14:paraId="4E17894F" w14:textId="77777777" w:rsidR="00CD3B0B" w:rsidRPr="00CD3B0B" w:rsidRDefault="00CD3B0B" w:rsidP="00CD3B0B">
      <w:pPr>
        <w:numPr>
          <w:ilvl w:val="0"/>
          <w:numId w:val="5"/>
        </w:numPr>
        <w:rPr>
          <w:bCs/>
        </w:rPr>
      </w:pPr>
      <w:r w:rsidRPr="00CD3B0B">
        <w:rPr>
          <w:bCs/>
        </w:rPr>
        <w:t>Define hospital acquired VTE and understand the burden of hospital acquired VTE in the US.</w:t>
      </w:r>
    </w:p>
    <w:p w14:paraId="77FB84E5" w14:textId="1EA30092" w:rsidR="00CD3B0B" w:rsidRPr="00CD3B0B" w:rsidRDefault="00CD3B0B" w:rsidP="00CD3B0B">
      <w:pPr>
        <w:numPr>
          <w:ilvl w:val="0"/>
          <w:numId w:val="5"/>
        </w:numPr>
        <w:rPr>
          <w:bCs/>
        </w:rPr>
      </w:pPr>
      <w:r w:rsidRPr="00CD3B0B">
        <w:rPr>
          <w:bCs/>
        </w:rPr>
        <w:t xml:space="preserve">List </w:t>
      </w:r>
      <w:r w:rsidR="00935EBD">
        <w:rPr>
          <w:bCs/>
        </w:rPr>
        <w:t>as many</w:t>
      </w:r>
      <w:r w:rsidRPr="00CD3B0B">
        <w:rPr>
          <w:bCs/>
        </w:rPr>
        <w:t xml:space="preserve"> risk factors for VTE in the hospital setting </w:t>
      </w:r>
      <w:r w:rsidR="00935EBD">
        <w:rPr>
          <w:bCs/>
        </w:rPr>
        <w:t xml:space="preserve">that you </w:t>
      </w:r>
      <w:proofErr w:type="gramStart"/>
      <w:r w:rsidR="00935EBD">
        <w:rPr>
          <w:bCs/>
        </w:rPr>
        <w:t xml:space="preserve">can, </w:t>
      </w:r>
      <w:r w:rsidRPr="00CD3B0B">
        <w:rPr>
          <w:bCs/>
        </w:rPr>
        <w:t>and</w:t>
      </w:r>
      <w:proofErr w:type="gramEnd"/>
      <w:r w:rsidRPr="00CD3B0B">
        <w:rPr>
          <w:bCs/>
        </w:rPr>
        <w:t xml:space="preserve"> </w:t>
      </w:r>
      <w:r w:rsidR="00935EBD">
        <w:rPr>
          <w:bCs/>
        </w:rPr>
        <w:t xml:space="preserve">know </w:t>
      </w:r>
      <w:r w:rsidRPr="00CD3B0B">
        <w:rPr>
          <w:bCs/>
        </w:rPr>
        <w:t>their odds ratios</w:t>
      </w:r>
      <w:r w:rsidR="00E509ED">
        <w:rPr>
          <w:bCs/>
        </w:rPr>
        <w:t>.</w:t>
      </w:r>
    </w:p>
    <w:p w14:paraId="0726464C" w14:textId="77777777" w:rsidR="00CD3B0B" w:rsidRPr="00CD3B0B" w:rsidRDefault="00CD3B0B" w:rsidP="00CD3B0B">
      <w:pPr>
        <w:numPr>
          <w:ilvl w:val="0"/>
          <w:numId w:val="5"/>
        </w:numPr>
        <w:rPr>
          <w:bCs/>
        </w:rPr>
      </w:pPr>
      <w:r w:rsidRPr="00CD3B0B">
        <w:rPr>
          <w:bCs/>
        </w:rPr>
        <w:t>Differentiate patients into LOW, MODERATE, and HIGHEST risk for hospital acquired VTE based on the VTE advisor order-set at BUMCP.</w:t>
      </w:r>
    </w:p>
    <w:p w14:paraId="1EC770BC" w14:textId="62A69766" w:rsidR="00CD3B0B" w:rsidRPr="00CD3B0B" w:rsidRDefault="00E509ED" w:rsidP="00CD3B0B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Describe the recommended dose and duration of VTE prophylaxis for </w:t>
      </w:r>
      <w:r w:rsidR="008D40AB">
        <w:rPr>
          <w:bCs/>
        </w:rPr>
        <w:t>hip and knee replacement and hip fracture surgery.</w:t>
      </w:r>
    </w:p>
    <w:p w14:paraId="643CAAE5" w14:textId="0EB4AD70" w:rsidR="00CD3B0B" w:rsidRPr="00CD3B0B" w:rsidRDefault="00CD3B0B" w:rsidP="00CD3B0B">
      <w:pPr>
        <w:numPr>
          <w:ilvl w:val="0"/>
          <w:numId w:val="5"/>
        </w:numPr>
        <w:rPr>
          <w:bCs/>
        </w:rPr>
      </w:pPr>
      <w:r w:rsidRPr="00CD3B0B">
        <w:rPr>
          <w:bCs/>
        </w:rPr>
        <w:t xml:space="preserve">Understand the </w:t>
      </w:r>
      <w:r w:rsidR="00E509ED">
        <w:rPr>
          <w:bCs/>
        </w:rPr>
        <w:t>indications</w:t>
      </w:r>
      <w:r w:rsidRPr="00CD3B0B">
        <w:rPr>
          <w:bCs/>
        </w:rPr>
        <w:t xml:space="preserve"> for extended (4 weeks -35 days) prophylaxis</w:t>
      </w:r>
      <w:r w:rsidR="00E509ED">
        <w:rPr>
          <w:bCs/>
        </w:rPr>
        <w:t>.</w:t>
      </w:r>
      <w:r w:rsidRPr="00CD3B0B">
        <w:rPr>
          <w:bCs/>
        </w:rPr>
        <w:t xml:space="preserve"> </w:t>
      </w:r>
    </w:p>
    <w:p w14:paraId="6DC6E2CB" w14:textId="77777777" w:rsidR="00480878" w:rsidRDefault="00480878" w:rsidP="000031A4">
      <w:pPr>
        <w:rPr>
          <w:b/>
          <w:u w:val="single"/>
        </w:rPr>
      </w:pPr>
    </w:p>
    <w:p w14:paraId="423D2C6D" w14:textId="77777777" w:rsidR="00C33F0B" w:rsidRDefault="00C33F0B" w:rsidP="000031A4">
      <w:pPr>
        <w:rPr>
          <w:b/>
          <w:u w:val="single"/>
        </w:rPr>
      </w:pPr>
    </w:p>
    <w:p w14:paraId="354C1D21" w14:textId="2B38EF32" w:rsidR="000031A4" w:rsidRDefault="000031A4" w:rsidP="000031A4">
      <w:pPr>
        <w:rPr>
          <w:b/>
          <w:u w:val="single"/>
        </w:rPr>
      </w:pPr>
      <w:r>
        <w:rPr>
          <w:b/>
          <w:u w:val="single"/>
        </w:rPr>
        <w:t>Diabetes management in the Hospital Setting:</w:t>
      </w:r>
    </w:p>
    <w:p w14:paraId="440643BE" w14:textId="77777777" w:rsidR="000031A4" w:rsidRDefault="000031A4" w:rsidP="00003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pre-prandial and post-prandial blood glucose targets for hospitalized adults.</w:t>
      </w:r>
    </w:p>
    <w:p w14:paraId="3F61B82D" w14:textId="673C478A" w:rsidR="000031A4" w:rsidRDefault="000031A4" w:rsidP="00054E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 why basal</w:t>
      </w:r>
      <w:r w:rsidR="00BF6498">
        <w:rPr>
          <w:sz w:val="24"/>
          <w:szCs w:val="24"/>
        </w:rPr>
        <w:t xml:space="preserve">, </w:t>
      </w:r>
      <w:r>
        <w:rPr>
          <w:sz w:val="24"/>
          <w:szCs w:val="24"/>
        </w:rPr>
        <w:t>bolus</w:t>
      </w:r>
      <w:r w:rsidR="00BF649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correctional insulin </w:t>
      </w:r>
      <w:r w:rsidR="00BF6498">
        <w:rPr>
          <w:sz w:val="24"/>
          <w:szCs w:val="24"/>
        </w:rPr>
        <w:t xml:space="preserve">(rather than sliding scale) </w:t>
      </w:r>
      <w:r>
        <w:rPr>
          <w:sz w:val="24"/>
          <w:szCs w:val="24"/>
        </w:rPr>
        <w:t xml:space="preserve">is the preferred regimen for </w:t>
      </w:r>
      <w:r w:rsidR="00BF6498">
        <w:rPr>
          <w:sz w:val="24"/>
          <w:szCs w:val="24"/>
        </w:rPr>
        <w:t xml:space="preserve">most </w:t>
      </w:r>
      <w:r>
        <w:rPr>
          <w:sz w:val="24"/>
          <w:szCs w:val="24"/>
        </w:rPr>
        <w:t>hospitalized adults.</w:t>
      </w:r>
      <w:r w:rsidR="006607D1">
        <w:rPr>
          <w:sz w:val="24"/>
          <w:szCs w:val="24"/>
        </w:rPr>
        <w:t xml:space="preserve"> </w:t>
      </w:r>
      <w:r w:rsidR="00AD5E85">
        <w:rPr>
          <w:sz w:val="24"/>
          <w:szCs w:val="24"/>
        </w:rPr>
        <w:t>Know who might be the exception to this rule.</w:t>
      </w:r>
    </w:p>
    <w:p w14:paraId="22E35C42" w14:textId="77777777" w:rsidR="000031A4" w:rsidRDefault="000031A4" w:rsidP="00003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table of the different types of insulin (glargine, NPH, regular, and lispro) and label their times of onset and duration of action.</w:t>
      </w:r>
    </w:p>
    <w:p w14:paraId="07571584" w14:textId="79A08E89" w:rsidR="000031A4" w:rsidRDefault="000031A4" w:rsidP="00003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to calculate a patient’s initial doses of basal/bolus insulin based on their weight</w:t>
      </w:r>
      <w:r w:rsidR="00F958F3">
        <w:rPr>
          <w:sz w:val="24"/>
          <w:szCs w:val="24"/>
        </w:rPr>
        <w:t xml:space="preserve"> and </w:t>
      </w:r>
      <w:r w:rsidR="00DA21A4">
        <w:rPr>
          <w:sz w:val="24"/>
          <w:szCs w:val="24"/>
        </w:rPr>
        <w:t>renal function</w:t>
      </w:r>
      <w:r w:rsidR="00F958F3">
        <w:rPr>
          <w:sz w:val="24"/>
          <w:szCs w:val="24"/>
        </w:rPr>
        <w:t>. Understand how</w:t>
      </w:r>
      <w:r w:rsidR="00FC2608">
        <w:rPr>
          <w:sz w:val="24"/>
          <w:szCs w:val="24"/>
        </w:rPr>
        <w:t xml:space="preserve"> often and how much</w:t>
      </w:r>
      <w:r w:rsidR="00F958F3">
        <w:rPr>
          <w:sz w:val="24"/>
          <w:szCs w:val="24"/>
        </w:rPr>
        <w:t xml:space="preserve"> to </w:t>
      </w:r>
      <w:r w:rsidR="003E33B9">
        <w:rPr>
          <w:sz w:val="24"/>
          <w:szCs w:val="24"/>
        </w:rPr>
        <w:t xml:space="preserve">adjust insulin dose up or down based on </w:t>
      </w:r>
      <w:r>
        <w:rPr>
          <w:sz w:val="24"/>
          <w:szCs w:val="24"/>
        </w:rPr>
        <w:t xml:space="preserve">the patient’s </w:t>
      </w:r>
      <w:r w:rsidR="00FC2608">
        <w:rPr>
          <w:sz w:val="24"/>
          <w:szCs w:val="24"/>
        </w:rPr>
        <w:t xml:space="preserve">q 6 hour </w:t>
      </w:r>
      <w:r>
        <w:rPr>
          <w:sz w:val="24"/>
          <w:szCs w:val="24"/>
        </w:rPr>
        <w:t>blood sugar values</w:t>
      </w:r>
      <w:r w:rsidR="001A1E94">
        <w:rPr>
          <w:sz w:val="24"/>
          <w:szCs w:val="24"/>
        </w:rPr>
        <w:t xml:space="preserve"> from the previous day.</w:t>
      </w:r>
    </w:p>
    <w:p w14:paraId="32E10BA5" w14:textId="77777777" w:rsidR="000031A4" w:rsidRDefault="000031A4" w:rsidP="00003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to manage a patient’s blood sugars when they are NPO or on tube feeds.</w:t>
      </w:r>
    </w:p>
    <w:p w14:paraId="59066DBB" w14:textId="77777777" w:rsidR="000031A4" w:rsidRDefault="000031A4" w:rsidP="000031A4">
      <w:pPr>
        <w:rPr>
          <w:b/>
          <w:u w:val="single"/>
        </w:rPr>
      </w:pPr>
    </w:p>
    <w:p w14:paraId="6059B38E" w14:textId="2627B829" w:rsidR="00690FAC" w:rsidRDefault="00690FAC" w:rsidP="00690FAC">
      <w:pPr>
        <w:rPr>
          <w:b/>
          <w:bCs/>
          <w:u w:val="single"/>
        </w:rPr>
      </w:pPr>
    </w:p>
    <w:p w14:paraId="4E0DB28B" w14:textId="77777777" w:rsidR="00480878" w:rsidRDefault="00480878" w:rsidP="00480878">
      <w:pPr>
        <w:rPr>
          <w:b/>
          <w:u w:val="single"/>
        </w:rPr>
      </w:pPr>
      <w:r>
        <w:rPr>
          <w:b/>
          <w:u w:val="single"/>
        </w:rPr>
        <w:t>Acute Kidney Injury:</w:t>
      </w:r>
    </w:p>
    <w:p w14:paraId="7E87649F" w14:textId="77777777" w:rsidR="00480878" w:rsidRDefault="00480878" w:rsidP="0048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acute kidney injury and oliguria. Understand the limitation of serum creatinine in identifying a patient with AKI.</w:t>
      </w:r>
    </w:p>
    <w:p w14:paraId="2B2C17B5" w14:textId="77777777" w:rsidR="00480878" w:rsidRDefault="00480878" w:rsidP="0048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table and include the headings: Pre-Renal, Intra-Renal, and Post-Renal. Include several causes in the differential of each type of renal failure. Describe the appropriate laboratory tests to order to help to distinguish between each type of renal failure after a history and physical examination are performed. Understand the limitations of </w:t>
      </w:r>
      <w:proofErr w:type="spellStart"/>
      <w:r>
        <w:rPr>
          <w:sz w:val="24"/>
          <w:szCs w:val="24"/>
        </w:rPr>
        <w:t>FeNa</w:t>
      </w:r>
      <w:proofErr w:type="spellEnd"/>
      <w:r>
        <w:rPr>
          <w:sz w:val="24"/>
          <w:szCs w:val="24"/>
        </w:rPr>
        <w:t xml:space="preserve"> and the utility of </w:t>
      </w:r>
      <w:proofErr w:type="spellStart"/>
      <w:r>
        <w:rPr>
          <w:sz w:val="24"/>
          <w:szCs w:val="24"/>
        </w:rPr>
        <w:t>FeUrea</w:t>
      </w:r>
      <w:proofErr w:type="spellEnd"/>
      <w:r>
        <w:rPr>
          <w:sz w:val="24"/>
          <w:szCs w:val="24"/>
        </w:rPr>
        <w:t>.</w:t>
      </w:r>
    </w:p>
    <w:p w14:paraId="55963C9D" w14:textId="77777777" w:rsidR="00480878" w:rsidRDefault="00480878" w:rsidP="0048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each type of renal failure, describe the initial management.</w:t>
      </w:r>
    </w:p>
    <w:p w14:paraId="7FA04645" w14:textId="77777777" w:rsidR="00480878" w:rsidRDefault="00480878" w:rsidP="0048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indications for emergent renal replacement therapy.</w:t>
      </w:r>
    </w:p>
    <w:p w14:paraId="5CD0B71D" w14:textId="77777777" w:rsidR="00480878" w:rsidRPr="00690FAC" w:rsidRDefault="00480878" w:rsidP="00690FAC">
      <w:pPr>
        <w:rPr>
          <w:b/>
          <w:bCs/>
          <w:u w:val="single"/>
        </w:rPr>
      </w:pPr>
    </w:p>
    <w:sectPr w:rsidR="00480878" w:rsidRPr="00690FAC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7520"/>
    <w:multiLevelType w:val="hybridMultilevel"/>
    <w:tmpl w:val="55AAABFE"/>
    <w:lvl w:ilvl="0" w:tplc="A404A29C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4A988A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87D3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6A0D34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0C0B1C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0A6280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6C4B0A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C6386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C89BAA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B759B1"/>
    <w:multiLevelType w:val="hybridMultilevel"/>
    <w:tmpl w:val="BE18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51D5"/>
    <w:multiLevelType w:val="hybridMultilevel"/>
    <w:tmpl w:val="9B70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E7E"/>
    <w:multiLevelType w:val="hybridMultilevel"/>
    <w:tmpl w:val="1DAC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0A90"/>
    <w:multiLevelType w:val="hybridMultilevel"/>
    <w:tmpl w:val="AA4E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A988A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87D3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6A0D34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0C0B1C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0A6280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6C4B0A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C6386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C89BAA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AC"/>
    <w:rsid w:val="000031A4"/>
    <w:rsid w:val="000267C5"/>
    <w:rsid w:val="00054E5D"/>
    <w:rsid w:val="00057783"/>
    <w:rsid w:val="00062E73"/>
    <w:rsid w:val="001A1E94"/>
    <w:rsid w:val="003318FB"/>
    <w:rsid w:val="003748B3"/>
    <w:rsid w:val="003E33B9"/>
    <w:rsid w:val="003F16D7"/>
    <w:rsid w:val="00467BE6"/>
    <w:rsid w:val="00480878"/>
    <w:rsid w:val="006607D1"/>
    <w:rsid w:val="00690FAC"/>
    <w:rsid w:val="008D40AB"/>
    <w:rsid w:val="008F1675"/>
    <w:rsid w:val="00935EBD"/>
    <w:rsid w:val="00957C18"/>
    <w:rsid w:val="009C72E3"/>
    <w:rsid w:val="00AD5E85"/>
    <w:rsid w:val="00AF6A4B"/>
    <w:rsid w:val="00B55715"/>
    <w:rsid w:val="00BF6498"/>
    <w:rsid w:val="00C33F0B"/>
    <w:rsid w:val="00C50A98"/>
    <w:rsid w:val="00CD3B0B"/>
    <w:rsid w:val="00DA21A4"/>
    <w:rsid w:val="00E509ED"/>
    <w:rsid w:val="00EC6875"/>
    <w:rsid w:val="00F958F3"/>
    <w:rsid w:val="00FC2608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F7640"/>
  <w15:chartTrackingRefBased/>
  <w15:docId w15:val="{AD8E4C6E-0987-114F-9F56-0864C9B4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A4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30</cp:revision>
  <dcterms:created xsi:type="dcterms:W3CDTF">2020-06-29T18:14:00Z</dcterms:created>
  <dcterms:modified xsi:type="dcterms:W3CDTF">2020-07-23T19:57:00Z</dcterms:modified>
</cp:coreProperties>
</file>