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9A" w:rsidRDefault="00E8419A">
      <w:bookmarkStart w:id="0" w:name="_GoBack"/>
      <w:bookmarkEnd w:id="0"/>
    </w:p>
    <w:p w:rsidR="002B2040" w:rsidRDefault="000847D3">
      <w:pPr>
        <w:rPr>
          <w:rFonts w:ascii="Arial" w:hAnsi="Arial" w:cs="Arial"/>
          <w:b/>
          <w:sz w:val="28"/>
          <w:szCs w:val="28"/>
        </w:rPr>
      </w:pPr>
      <w:r>
        <w:rPr>
          <w:rFonts w:ascii="Arial" w:hAnsi="Arial" w:cs="Arial"/>
          <w:b/>
          <w:sz w:val="28"/>
          <w:szCs w:val="28"/>
        </w:rPr>
        <w:t>Number Needed to Treat (NNT)</w:t>
      </w:r>
    </w:p>
    <w:p w:rsidR="002B2040" w:rsidRDefault="002B2040">
      <w:pPr>
        <w:rPr>
          <w:rFonts w:ascii="Arial" w:hAnsi="Arial" w:cs="Arial"/>
          <w:b/>
          <w:sz w:val="28"/>
          <w:szCs w:val="28"/>
        </w:rPr>
      </w:pPr>
    </w:p>
    <w:p w:rsidR="000847D3" w:rsidRDefault="002B2040" w:rsidP="000847D3">
      <w:pPr>
        <w:rPr>
          <w:rFonts w:ascii="Arial" w:hAnsi="Arial" w:cs="Arial"/>
          <w:sz w:val="24"/>
          <w:szCs w:val="24"/>
        </w:rPr>
      </w:pPr>
      <w:r w:rsidRPr="002B2040">
        <w:rPr>
          <w:rFonts w:ascii="Arial" w:hAnsi="Arial" w:cs="Arial"/>
          <w:sz w:val="24"/>
          <w:szCs w:val="24"/>
        </w:rPr>
        <w:t>As we have seen,</w:t>
      </w:r>
      <w:r w:rsidR="00501649">
        <w:rPr>
          <w:rFonts w:ascii="Arial" w:hAnsi="Arial" w:cs="Arial"/>
          <w:sz w:val="24"/>
          <w:szCs w:val="24"/>
        </w:rPr>
        <w:t xml:space="preserve"> </w:t>
      </w:r>
      <w:r w:rsidR="000847D3">
        <w:rPr>
          <w:rFonts w:ascii="Arial" w:hAnsi="Arial" w:cs="Arial"/>
          <w:sz w:val="24"/>
          <w:szCs w:val="24"/>
        </w:rPr>
        <w:t>absolute risk reduction (ARR) is the difference in risks between an exposed (or treated) and an unexposed (or control) group.</w:t>
      </w:r>
    </w:p>
    <w:p w:rsidR="00501649" w:rsidRPr="002B2040" w:rsidRDefault="000847D3">
      <w:pPr>
        <w:rPr>
          <w:rFonts w:ascii="Arial" w:hAnsi="Arial" w:cs="Arial"/>
          <w:sz w:val="24"/>
          <w:szCs w:val="24"/>
        </w:rPr>
      </w:pPr>
      <w:r>
        <w:rPr>
          <w:rFonts w:ascii="Arial" w:hAnsi="Arial" w:cs="Arial"/>
          <w:sz w:val="24"/>
          <w:szCs w:val="24"/>
        </w:rPr>
        <w:t>In a treatment study, the treat</w:t>
      </w:r>
      <w:r w:rsidR="00943E3B">
        <w:rPr>
          <w:rFonts w:ascii="Arial" w:hAnsi="Arial" w:cs="Arial"/>
          <w:sz w:val="24"/>
          <w:szCs w:val="24"/>
        </w:rPr>
        <w:t>ed group has</w:t>
      </w:r>
      <w:r>
        <w:rPr>
          <w:rFonts w:ascii="Arial" w:hAnsi="Arial" w:cs="Arial"/>
          <w:sz w:val="24"/>
          <w:szCs w:val="24"/>
        </w:rPr>
        <w:t xml:space="preserve"> fewer outcomes (readmission) than the control group.   </w:t>
      </w:r>
      <w:r w:rsidR="002B2040" w:rsidRPr="002B2040">
        <w:rPr>
          <w:rFonts w:ascii="Arial" w:hAnsi="Arial" w:cs="Arial"/>
          <w:sz w:val="24"/>
          <w:szCs w:val="24"/>
        </w:rPr>
        <w:t>The absolute risk</w:t>
      </w:r>
      <w:r w:rsidR="00E76973">
        <w:rPr>
          <w:rFonts w:ascii="Arial" w:hAnsi="Arial" w:cs="Arial"/>
          <w:sz w:val="24"/>
          <w:szCs w:val="24"/>
        </w:rPr>
        <w:t xml:space="preserve"> in the </w:t>
      </w:r>
      <w:r w:rsidR="005319B7">
        <w:rPr>
          <w:rFonts w:ascii="Arial" w:hAnsi="Arial" w:cs="Arial"/>
          <w:sz w:val="24"/>
          <w:szCs w:val="24"/>
        </w:rPr>
        <w:t>control group (ARc) is 1</w:t>
      </w:r>
      <w:r>
        <w:rPr>
          <w:rFonts w:ascii="Arial" w:hAnsi="Arial" w:cs="Arial"/>
          <w:sz w:val="24"/>
          <w:szCs w:val="24"/>
        </w:rPr>
        <w:t>5</w:t>
      </w:r>
      <w:r w:rsidR="002B2040" w:rsidRPr="002B2040">
        <w:rPr>
          <w:rFonts w:ascii="Arial" w:hAnsi="Arial" w:cs="Arial"/>
          <w:sz w:val="24"/>
          <w:szCs w:val="24"/>
        </w:rPr>
        <w:t xml:space="preserve">/100.  The absolute risk in the </w:t>
      </w:r>
      <w:r>
        <w:rPr>
          <w:rFonts w:ascii="Arial" w:hAnsi="Arial" w:cs="Arial"/>
          <w:sz w:val="24"/>
          <w:szCs w:val="24"/>
        </w:rPr>
        <w:t>treated group</w:t>
      </w:r>
      <w:r w:rsidR="005319B7">
        <w:rPr>
          <w:rFonts w:ascii="Arial" w:hAnsi="Arial" w:cs="Arial"/>
          <w:sz w:val="24"/>
          <w:szCs w:val="24"/>
        </w:rPr>
        <w:t xml:space="preserve"> (ARu) is 5</w:t>
      </w:r>
      <w:r w:rsidR="002B2040" w:rsidRPr="002B2040">
        <w:rPr>
          <w:rFonts w:ascii="Arial" w:hAnsi="Arial" w:cs="Arial"/>
          <w:sz w:val="24"/>
          <w:szCs w:val="24"/>
        </w:rPr>
        <w:t xml:space="preserve">/100. </w:t>
      </w:r>
      <w:r>
        <w:rPr>
          <w:rFonts w:ascii="Arial" w:hAnsi="Arial" w:cs="Arial"/>
          <w:sz w:val="24"/>
          <w:szCs w:val="24"/>
        </w:rPr>
        <w:t xml:space="preserve"> ARR = ARc - ARt = </w:t>
      </w:r>
      <w:r w:rsidR="005319B7">
        <w:rPr>
          <w:rFonts w:ascii="Arial" w:hAnsi="Arial" w:cs="Arial"/>
          <w:sz w:val="24"/>
          <w:szCs w:val="24"/>
        </w:rPr>
        <w:t>10/100 = 0.10 or 10</w:t>
      </w:r>
      <w:r>
        <w:rPr>
          <w:rFonts w:ascii="Arial" w:hAnsi="Arial" w:cs="Arial"/>
          <w:sz w:val="24"/>
          <w:szCs w:val="24"/>
        </w:rPr>
        <w:t>%.</w:t>
      </w:r>
    </w:p>
    <w:tbl>
      <w:tblPr>
        <w:tblStyle w:val="TableGrid"/>
        <w:tblW w:w="0" w:type="auto"/>
        <w:tblLook w:val="04A0" w:firstRow="1" w:lastRow="0" w:firstColumn="1" w:lastColumn="0" w:noHBand="0" w:noVBand="1"/>
      </w:tblPr>
      <w:tblGrid>
        <w:gridCol w:w="1435"/>
        <w:gridCol w:w="1440"/>
        <w:gridCol w:w="1350"/>
        <w:gridCol w:w="990"/>
      </w:tblGrid>
      <w:tr w:rsidR="002B2040" w:rsidTr="007C2278">
        <w:tc>
          <w:tcPr>
            <w:tcW w:w="1435" w:type="dxa"/>
          </w:tcPr>
          <w:p w:rsidR="002B2040" w:rsidRDefault="002B2040" w:rsidP="007C2278">
            <w:pPr>
              <w:rPr>
                <w:rFonts w:ascii="Arial" w:hAnsi="Arial" w:cs="Arial"/>
              </w:rPr>
            </w:pPr>
          </w:p>
        </w:tc>
        <w:tc>
          <w:tcPr>
            <w:tcW w:w="1440" w:type="dxa"/>
          </w:tcPr>
          <w:p w:rsidR="002B2040" w:rsidRDefault="002B2040" w:rsidP="007C2278">
            <w:pPr>
              <w:jc w:val="center"/>
              <w:rPr>
                <w:rFonts w:ascii="Arial" w:hAnsi="Arial" w:cs="Arial"/>
              </w:rPr>
            </w:pPr>
            <w:r>
              <w:rPr>
                <w:rFonts w:ascii="Arial" w:hAnsi="Arial" w:cs="Arial"/>
              </w:rPr>
              <w:t>Outcome +</w:t>
            </w:r>
          </w:p>
        </w:tc>
        <w:tc>
          <w:tcPr>
            <w:tcW w:w="1350" w:type="dxa"/>
          </w:tcPr>
          <w:p w:rsidR="002B2040" w:rsidRDefault="002B2040" w:rsidP="007C2278">
            <w:pPr>
              <w:jc w:val="center"/>
              <w:rPr>
                <w:rFonts w:ascii="Arial" w:hAnsi="Arial" w:cs="Arial"/>
              </w:rPr>
            </w:pPr>
            <w:r>
              <w:rPr>
                <w:rFonts w:ascii="Arial" w:hAnsi="Arial" w:cs="Arial"/>
              </w:rPr>
              <w:t>Outcome –</w:t>
            </w:r>
          </w:p>
        </w:tc>
        <w:tc>
          <w:tcPr>
            <w:tcW w:w="990" w:type="dxa"/>
          </w:tcPr>
          <w:p w:rsidR="002B2040" w:rsidRDefault="002B2040" w:rsidP="007C2278">
            <w:pPr>
              <w:jc w:val="center"/>
              <w:rPr>
                <w:rFonts w:ascii="Arial" w:hAnsi="Arial" w:cs="Arial"/>
              </w:rPr>
            </w:pPr>
            <w:r>
              <w:rPr>
                <w:rFonts w:ascii="Arial" w:hAnsi="Arial" w:cs="Arial"/>
              </w:rPr>
              <w:t>Total</w:t>
            </w:r>
          </w:p>
        </w:tc>
      </w:tr>
      <w:tr w:rsidR="002B2040" w:rsidTr="007C2278">
        <w:tc>
          <w:tcPr>
            <w:tcW w:w="1435" w:type="dxa"/>
          </w:tcPr>
          <w:p w:rsidR="002B2040" w:rsidRDefault="000847D3" w:rsidP="007C2278">
            <w:pPr>
              <w:rPr>
                <w:rFonts w:ascii="Arial" w:hAnsi="Arial" w:cs="Arial"/>
              </w:rPr>
            </w:pPr>
            <w:r>
              <w:rPr>
                <w:rFonts w:ascii="Arial" w:hAnsi="Arial" w:cs="Arial"/>
              </w:rPr>
              <w:t>Treated</w:t>
            </w:r>
          </w:p>
        </w:tc>
        <w:tc>
          <w:tcPr>
            <w:tcW w:w="1440" w:type="dxa"/>
          </w:tcPr>
          <w:p w:rsidR="002B2040" w:rsidRDefault="005319B7" w:rsidP="007C2278">
            <w:pPr>
              <w:jc w:val="center"/>
              <w:rPr>
                <w:rFonts w:ascii="Arial" w:hAnsi="Arial" w:cs="Arial"/>
              </w:rPr>
            </w:pPr>
            <w:r>
              <w:rPr>
                <w:rFonts w:ascii="Arial" w:hAnsi="Arial" w:cs="Arial"/>
              </w:rPr>
              <w:t>5</w:t>
            </w:r>
          </w:p>
        </w:tc>
        <w:tc>
          <w:tcPr>
            <w:tcW w:w="1350" w:type="dxa"/>
          </w:tcPr>
          <w:p w:rsidR="002B2040" w:rsidRDefault="005319B7" w:rsidP="007C2278">
            <w:pPr>
              <w:jc w:val="center"/>
              <w:rPr>
                <w:rFonts w:ascii="Arial" w:hAnsi="Arial" w:cs="Arial"/>
              </w:rPr>
            </w:pPr>
            <w:r>
              <w:rPr>
                <w:rFonts w:ascii="Arial" w:hAnsi="Arial" w:cs="Arial"/>
              </w:rPr>
              <w:t>95</w:t>
            </w:r>
          </w:p>
        </w:tc>
        <w:tc>
          <w:tcPr>
            <w:tcW w:w="990" w:type="dxa"/>
          </w:tcPr>
          <w:p w:rsidR="002B2040" w:rsidRDefault="002B2040" w:rsidP="007C2278">
            <w:pPr>
              <w:jc w:val="center"/>
              <w:rPr>
                <w:rFonts w:ascii="Arial" w:hAnsi="Arial" w:cs="Arial"/>
              </w:rPr>
            </w:pPr>
            <w:r>
              <w:rPr>
                <w:rFonts w:ascii="Arial" w:hAnsi="Arial" w:cs="Arial"/>
              </w:rPr>
              <w:t>100</w:t>
            </w:r>
          </w:p>
        </w:tc>
      </w:tr>
      <w:tr w:rsidR="002B2040" w:rsidTr="007C2278">
        <w:tc>
          <w:tcPr>
            <w:tcW w:w="1435" w:type="dxa"/>
          </w:tcPr>
          <w:p w:rsidR="002B2040" w:rsidRDefault="000847D3" w:rsidP="007C2278">
            <w:pPr>
              <w:rPr>
                <w:rFonts w:ascii="Arial" w:hAnsi="Arial" w:cs="Arial"/>
              </w:rPr>
            </w:pPr>
            <w:r>
              <w:rPr>
                <w:rFonts w:ascii="Arial" w:hAnsi="Arial" w:cs="Arial"/>
              </w:rPr>
              <w:t>Control</w:t>
            </w:r>
          </w:p>
        </w:tc>
        <w:tc>
          <w:tcPr>
            <w:tcW w:w="1440" w:type="dxa"/>
          </w:tcPr>
          <w:p w:rsidR="002B2040" w:rsidRDefault="005319B7" w:rsidP="007C2278">
            <w:pPr>
              <w:jc w:val="center"/>
              <w:rPr>
                <w:rFonts w:ascii="Arial" w:hAnsi="Arial" w:cs="Arial"/>
              </w:rPr>
            </w:pPr>
            <w:r>
              <w:rPr>
                <w:rFonts w:ascii="Arial" w:hAnsi="Arial" w:cs="Arial"/>
              </w:rPr>
              <w:t>15</w:t>
            </w:r>
          </w:p>
        </w:tc>
        <w:tc>
          <w:tcPr>
            <w:tcW w:w="1350" w:type="dxa"/>
          </w:tcPr>
          <w:p w:rsidR="002B2040" w:rsidRDefault="005319B7" w:rsidP="007C2278">
            <w:pPr>
              <w:jc w:val="center"/>
              <w:rPr>
                <w:rFonts w:ascii="Arial" w:hAnsi="Arial" w:cs="Arial"/>
              </w:rPr>
            </w:pPr>
            <w:r>
              <w:rPr>
                <w:rFonts w:ascii="Arial" w:hAnsi="Arial" w:cs="Arial"/>
              </w:rPr>
              <w:t>8</w:t>
            </w:r>
            <w:r w:rsidR="000847D3">
              <w:rPr>
                <w:rFonts w:ascii="Arial" w:hAnsi="Arial" w:cs="Arial"/>
              </w:rPr>
              <w:t>5</w:t>
            </w:r>
          </w:p>
        </w:tc>
        <w:tc>
          <w:tcPr>
            <w:tcW w:w="990" w:type="dxa"/>
          </w:tcPr>
          <w:p w:rsidR="002B2040" w:rsidRDefault="002B2040" w:rsidP="007C2278">
            <w:pPr>
              <w:jc w:val="center"/>
              <w:rPr>
                <w:rFonts w:ascii="Arial" w:hAnsi="Arial" w:cs="Arial"/>
              </w:rPr>
            </w:pPr>
            <w:r>
              <w:rPr>
                <w:rFonts w:ascii="Arial" w:hAnsi="Arial" w:cs="Arial"/>
              </w:rPr>
              <w:t>100</w:t>
            </w:r>
          </w:p>
        </w:tc>
      </w:tr>
    </w:tbl>
    <w:p w:rsidR="002B2040" w:rsidRDefault="002B2040">
      <w:pPr>
        <w:rPr>
          <w:rFonts w:ascii="Arial" w:hAnsi="Arial" w:cs="Arial"/>
          <w:sz w:val="24"/>
          <w:szCs w:val="24"/>
        </w:rPr>
      </w:pPr>
    </w:p>
    <w:p w:rsidR="002B2040" w:rsidRDefault="000847D3">
      <w:pPr>
        <w:rPr>
          <w:rFonts w:ascii="Arial" w:hAnsi="Arial" w:cs="Arial"/>
          <w:sz w:val="24"/>
          <w:szCs w:val="24"/>
        </w:rPr>
      </w:pPr>
      <w:r>
        <w:rPr>
          <w:rFonts w:ascii="Arial" w:hAnsi="Arial" w:cs="Arial"/>
          <w:sz w:val="24"/>
          <w:szCs w:val="24"/>
        </w:rPr>
        <w:t xml:space="preserve">The number needed to treat (NNT) is the number that would need to be moved to the treatment group to avoid one additional readmission.  </w:t>
      </w:r>
      <w:r w:rsidR="005319B7">
        <w:rPr>
          <w:rFonts w:ascii="Arial" w:hAnsi="Arial" w:cs="Arial"/>
          <w:sz w:val="24"/>
          <w:szCs w:val="24"/>
        </w:rPr>
        <w:t>NNT = 1/ARR = 1/0.10 = 10.</w:t>
      </w:r>
    </w:p>
    <w:p w:rsidR="005319B7" w:rsidRDefault="005319B7">
      <w:pPr>
        <w:rPr>
          <w:rFonts w:ascii="Arial" w:hAnsi="Arial" w:cs="Arial"/>
          <w:sz w:val="24"/>
          <w:szCs w:val="24"/>
        </w:rPr>
      </w:pPr>
      <w:r>
        <w:rPr>
          <w:rFonts w:ascii="Arial" w:hAnsi="Arial" w:cs="Arial"/>
          <w:sz w:val="24"/>
          <w:szCs w:val="24"/>
        </w:rPr>
        <w:t xml:space="preserve">This is true because if those 10 patients were left in the control group, 15% of them (1.5 patients) would be readmitted.  If those 10 patients were moved to the treatment group. 5% of them (0.5 patients) would be admitted.  That difference in outcomes (1.5 – 0.5 = 1 patient) is equivalent to the number needed to treat (to avoid one fewer outcome). </w:t>
      </w:r>
    </w:p>
    <w:p w:rsidR="00943E3B" w:rsidRDefault="00943E3B">
      <w:pPr>
        <w:rPr>
          <w:rFonts w:ascii="Arial" w:hAnsi="Arial" w:cs="Arial"/>
          <w:sz w:val="24"/>
          <w:szCs w:val="24"/>
        </w:rPr>
      </w:pPr>
      <w:r>
        <w:rPr>
          <w:rFonts w:ascii="Arial" w:hAnsi="Arial" w:cs="Arial"/>
          <w:sz w:val="24"/>
          <w:szCs w:val="24"/>
        </w:rPr>
        <w:t>There is not one cutoff number for a favorable NNT.  NNT depends on outcome avoided (death should be avoided more than readmission), cost of the intervention and adverse effects of treatment and their severity.  The difference in an adverse effect between the treatment and control groups can be used to calculate number needed to harm (NNH).</w:t>
      </w:r>
    </w:p>
    <w:p w:rsidR="002B2040" w:rsidRPr="002B2040" w:rsidRDefault="002B2040">
      <w:pPr>
        <w:rPr>
          <w:rFonts w:ascii="Arial" w:hAnsi="Arial" w:cs="Arial"/>
          <w:sz w:val="24"/>
          <w:szCs w:val="24"/>
        </w:rPr>
      </w:pPr>
    </w:p>
    <w:p w:rsidR="002B2040" w:rsidRDefault="002B2040"/>
    <w:p w:rsidR="002B2040" w:rsidRDefault="002B2040"/>
    <w:sectPr w:rsidR="002B2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40"/>
    <w:rsid w:val="000847D3"/>
    <w:rsid w:val="002B2040"/>
    <w:rsid w:val="00425650"/>
    <w:rsid w:val="00501649"/>
    <w:rsid w:val="005319B7"/>
    <w:rsid w:val="00943E3B"/>
    <w:rsid w:val="00B63FA3"/>
    <w:rsid w:val="00E76973"/>
    <w:rsid w:val="00E8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C2558-3773-448D-AD27-3955BE87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Gerkin, Richard</dc:creator>
  <cp:keywords/>
  <dc:description/>
  <cp:lastModifiedBy>BUMCP IntMed Chief</cp:lastModifiedBy>
  <cp:revision>2</cp:revision>
  <dcterms:created xsi:type="dcterms:W3CDTF">2017-08-14T19:25:00Z</dcterms:created>
  <dcterms:modified xsi:type="dcterms:W3CDTF">2017-08-14T19:25:00Z</dcterms:modified>
</cp:coreProperties>
</file>