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14E1" w14:textId="04F2DD01" w:rsidR="00B81DF7" w:rsidRPr="00B81DF7" w:rsidRDefault="00B81DF7" w:rsidP="00B81DF7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B81DF7">
        <w:rPr>
          <w:rFonts w:ascii="Arial" w:hAnsi="Arial" w:cs="Arial"/>
          <w:sz w:val="19"/>
          <w:szCs w:val="19"/>
        </w:rPr>
        <w:t>April 21, 2020 AHD Objectives</w:t>
      </w:r>
    </w:p>
    <w:p w14:paraId="36DA24A9" w14:textId="69BD2E33" w:rsidR="00B81DF7" w:rsidRPr="00B81DF7" w:rsidRDefault="00B81DF7" w:rsidP="00B81DF7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AC1DBB2" w14:textId="77777777" w:rsidR="00B81DF7" w:rsidRPr="00B81DF7" w:rsidRDefault="00B81DF7" w:rsidP="00B81DF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81DF7">
        <w:rPr>
          <w:rFonts w:ascii="Arial" w:eastAsia="Times New Roman" w:hAnsi="Arial" w:cs="Arial"/>
          <w:color w:val="000000"/>
          <w:sz w:val="19"/>
          <w:szCs w:val="19"/>
        </w:rPr>
        <w:t xml:space="preserve">Dysphagia: </w:t>
      </w:r>
    </w:p>
    <w:p w14:paraId="0A161AAE" w14:textId="77777777" w:rsidR="00B81DF7" w:rsidRPr="00B81DF7" w:rsidRDefault="00B81DF7" w:rsidP="00B81DF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0D0A2A14" w14:textId="77777777" w:rsidR="00B81DF7" w:rsidRPr="00B81DF7" w:rsidRDefault="00B81DF7" w:rsidP="00B81D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81DF7">
        <w:rPr>
          <w:rFonts w:ascii="Arial" w:eastAsia="Times New Roman" w:hAnsi="Arial" w:cs="Arial"/>
          <w:color w:val="000000"/>
          <w:sz w:val="19"/>
          <w:szCs w:val="19"/>
        </w:rPr>
        <w:t xml:space="preserve">Compare motility, functional, and anatomic dysphagia. Define them, list some causes, and describe how a patient might experience them. </w:t>
      </w:r>
    </w:p>
    <w:p w14:paraId="59FD02D4" w14:textId="77777777" w:rsidR="00B81DF7" w:rsidRPr="00B81DF7" w:rsidRDefault="00B81DF7" w:rsidP="00B81D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81DF7">
        <w:rPr>
          <w:rFonts w:ascii="Arial" w:eastAsia="Times New Roman" w:hAnsi="Arial" w:cs="Arial"/>
          <w:color w:val="000000"/>
          <w:sz w:val="19"/>
          <w:szCs w:val="19"/>
        </w:rPr>
        <w:t>Understand the appropriate differential diagnosis and evaluation of odynophagia.</w:t>
      </w:r>
    </w:p>
    <w:p w14:paraId="5A625661" w14:textId="77777777" w:rsidR="00B81DF7" w:rsidRPr="00B81DF7" w:rsidRDefault="00B81DF7" w:rsidP="00B81D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81DF7">
        <w:rPr>
          <w:rFonts w:ascii="Arial" w:eastAsia="Times New Roman" w:hAnsi="Arial" w:cs="Arial"/>
          <w:color w:val="000000"/>
          <w:sz w:val="19"/>
          <w:szCs w:val="19"/>
        </w:rPr>
        <w:t>When is upper endoscopy warranted in patients with GERD?</w:t>
      </w:r>
    </w:p>
    <w:p w14:paraId="0998BF80" w14:textId="77777777" w:rsidR="00B81DF7" w:rsidRPr="00B81DF7" w:rsidRDefault="00B81DF7" w:rsidP="00B81D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81DF7">
        <w:rPr>
          <w:rFonts w:ascii="Arial" w:eastAsia="Times New Roman" w:hAnsi="Arial" w:cs="Arial"/>
          <w:color w:val="000000"/>
          <w:sz w:val="19"/>
          <w:szCs w:val="19"/>
        </w:rPr>
        <w:t>How is EE diagnosed and what is the treatment?</w:t>
      </w:r>
    </w:p>
    <w:p w14:paraId="43F7596E" w14:textId="77777777" w:rsidR="00B81DF7" w:rsidRPr="00B81DF7" w:rsidRDefault="00B81DF7" w:rsidP="00B81D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81DF7">
        <w:rPr>
          <w:rFonts w:ascii="Arial" w:eastAsia="Times New Roman" w:hAnsi="Arial" w:cs="Arial"/>
          <w:color w:val="000000"/>
          <w:sz w:val="19"/>
          <w:szCs w:val="19"/>
        </w:rPr>
        <w:t>How can achalasia be treated?</w:t>
      </w:r>
    </w:p>
    <w:p w14:paraId="032EB931" w14:textId="77777777" w:rsidR="00B81DF7" w:rsidRPr="00B81DF7" w:rsidRDefault="00B81DF7" w:rsidP="00B81D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B81DF7">
        <w:rPr>
          <w:rFonts w:ascii="Arial" w:eastAsia="Times New Roman" w:hAnsi="Arial" w:cs="Arial"/>
          <w:color w:val="000000"/>
          <w:sz w:val="19"/>
          <w:szCs w:val="19"/>
        </w:rPr>
        <w:t xml:space="preserve">Understand the indications for screening for </w:t>
      </w:r>
      <w:proofErr w:type="spellStart"/>
      <w:r w:rsidRPr="00B81DF7">
        <w:rPr>
          <w:rFonts w:ascii="Arial" w:eastAsia="Times New Roman" w:hAnsi="Arial" w:cs="Arial"/>
          <w:color w:val="000000"/>
          <w:sz w:val="19"/>
          <w:szCs w:val="19"/>
        </w:rPr>
        <w:t>Barett’s</w:t>
      </w:r>
      <w:proofErr w:type="spellEnd"/>
      <w:r w:rsidRPr="00B81DF7">
        <w:rPr>
          <w:rFonts w:ascii="Arial" w:eastAsia="Times New Roman" w:hAnsi="Arial" w:cs="Arial"/>
          <w:color w:val="000000"/>
          <w:sz w:val="19"/>
          <w:szCs w:val="19"/>
        </w:rPr>
        <w:t xml:space="preserve"> esophagus and its treatment options. </w:t>
      </w:r>
    </w:p>
    <w:p w14:paraId="32833351" w14:textId="77777777" w:rsidR="00B81DF7" w:rsidRPr="00B81DF7" w:rsidRDefault="00B81DF7" w:rsidP="00B81DF7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9A24D52" w14:textId="704A23D2" w:rsidR="00B81DF7" w:rsidRPr="00B81DF7" w:rsidRDefault="00B81DF7" w:rsidP="00B81DF7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74D2BE5" w14:textId="24A208E5" w:rsidR="00B81DF7" w:rsidRPr="00B81DF7" w:rsidRDefault="00B81DF7" w:rsidP="00B81D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B81DF7">
        <w:rPr>
          <w:rFonts w:ascii="Arial" w:hAnsi="Arial" w:cs="Arial"/>
          <w:sz w:val="19"/>
          <w:szCs w:val="19"/>
        </w:rPr>
        <w:t>UGIB (all can be found in MKSAP reading):</w:t>
      </w:r>
    </w:p>
    <w:p w14:paraId="75AE0BA0" w14:textId="06C6BA41" w:rsidR="00B81DF7" w:rsidRPr="00B81DF7" w:rsidRDefault="00B81DF7" w:rsidP="00B81DF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1DF7">
        <w:rPr>
          <w:rFonts w:ascii="Arial" w:eastAsia="Times New Roman" w:hAnsi="Arial" w:cs="Arial"/>
          <w:color w:val="222222"/>
          <w:sz w:val="19"/>
          <w:szCs w:val="19"/>
        </w:rPr>
        <w:t>Though there are more than 10 commonly thought of causes of UGIB, 80% of cases can be attributed to what four causes?</w:t>
      </w:r>
    </w:p>
    <w:p w14:paraId="6B5658B0" w14:textId="6A955B0F" w:rsidR="00B81DF7" w:rsidRPr="00B81DF7" w:rsidRDefault="00B81DF7" w:rsidP="00B81DF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1DF7">
        <w:rPr>
          <w:rFonts w:ascii="Arial" w:eastAsia="Times New Roman" w:hAnsi="Arial" w:cs="Arial"/>
          <w:color w:val="222222"/>
          <w:sz w:val="19"/>
          <w:szCs w:val="19"/>
        </w:rPr>
        <w:t>Describe the Forrest categories of ulcers and their post-endoscopy management.</w:t>
      </w:r>
    </w:p>
    <w:p w14:paraId="78BF8DA1" w14:textId="77777777" w:rsidR="00B81DF7" w:rsidRPr="00B81DF7" w:rsidRDefault="00B81DF7" w:rsidP="00B81DF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1DF7">
        <w:rPr>
          <w:rFonts w:ascii="Arial" w:eastAsia="Times New Roman" w:hAnsi="Arial" w:cs="Arial"/>
          <w:color w:val="222222"/>
          <w:sz w:val="19"/>
          <w:szCs w:val="19"/>
        </w:rPr>
        <w:t>List the 7 strongest predictors for re-bleeding post endoscopically. </w:t>
      </w:r>
    </w:p>
    <w:p w14:paraId="38B54104" w14:textId="77777777" w:rsidR="00B81DF7" w:rsidRPr="00B81DF7" w:rsidRDefault="00B81DF7" w:rsidP="00B81DF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1DF7">
        <w:rPr>
          <w:rFonts w:ascii="Arial" w:eastAsia="Times New Roman" w:hAnsi="Arial" w:cs="Arial"/>
          <w:color w:val="222222"/>
          <w:sz w:val="19"/>
          <w:szCs w:val="19"/>
        </w:rPr>
        <w:t>List four indications for second-look endoscopy, and the timing of when should it be done.</w:t>
      </w:r>
    </w:p>
    <w:p w14:paraId="6EFA990A" w14:textId="27851CF9" w:rsidR="00B81DF7" w:rsidRPr="00B81DF7" w:rsidRDefault="00B81DF7" w:rsidP="00B81DF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1DF7">
        <w:rPr>
          <w:rFonts w:ascii="Arial" w:eastAsia="Times New Roman" w:hAnsi="Arial" w:cs="Arial"/>
          <w:color w:val="222222"/>
          <w:sz w:val="19"/>
          <w:szCs w:val="19"/>
        </w:rPr>
        <w:t>Compare how much aspirin reduced risk over 30 days in cardiovascular disease with how much it increases risk of rebleeding in gastric ulcers. </w:t>
      </w:r>
    </w:p>
    <w:p w14:paraId="3F37A277" w14:textId="7CDACFB5" w:rsidR="00B81DF7" w:rsidRPr="00B81DF7" w:rsidRDefault="00B81DF7" w:rsidP="00B81DF7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9032D42" w14:textId="31DD14F6" w:rsidR="00B81DF7" w:rsidRPr="00B81DF7" w:rsidRDefault="00B81DF7" w:rsidP="00B81DF7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B81DF7">
        <w:rPr>
          <w:rFonts w:ascii="Arial" w:hAnsi="Arial" w:cs="Arial"/>
          <w:sz w:val="19"/>
          <w:szCs w:val="19"/>
        </w:rPr>
        <w:t>Pancreatitis:</w:t>
      </w:r>
      <w:r w:rsidRPr="00B81DF7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</w:p>
    <w:p w14:paraId="49EC03B5" w14:textId="0E8404F1" w:rsidR="00B81DF7" w:rsidRPr="00B81DF7" w:rsidRDefault="00B81DF7" w:rsidP="00B81DF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1DF7">
        <w:rPr>
          <w:rFonts w:ascii="Arial" w:eastAsia="Times New Roman" w:hAnsi="Arial" w:cs="Arial"/>
          <w:color w:val="222222"/>
          <w:sz w:val="19"/>
          <w:szCs w:val="19"/>
        </w:rPr>
        <w:t xml:space="preserve">What are the most common causes of pancreatitis? </w:t>
      </w:r>
    </w:p>
    <w:p w14:paraId="7E572292" w14:textId="158E9397" w:rsidR="00B81DF7" w:rsidRPr="00B81DF7" w:rsidRDefault="00B81DF7" w:rsidP="00B81DF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1DF7">
        <w:rPr>
          <w:rFonts w:ascii="Arial" w:eastAsia="Times New Roman" w:hAnsi="Arial" w:cs="Arial"/>
          <w:color w:val="222222"/>
          <w:sz w:val="19"/>
          <w:szCs w:val="19"/>
        </w:rPr>
        <w:t xml:space="preserve">Define mild vs moderately severe vs. severe pancreatitis. </w:t>
      </w:r>
    </w:p>
    <w:p w14:paraId="6FD649DA" w14:textId="3B0A4868" w:rsidR="00B81DF7" w:rsidRPr="00B81DF7" w:rsidRDefault="00B81DF7" w:rsidP="00B81DF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1DF7">
        <w:rPr>
          <w:rFonts w:ascii="Arial" w:eastAsia="Times New Roman" w:hAnsi="Arial" w:cs="Arial"/>
          <w:color w:val="222222"/>
          <w:sz w:val="19"/>
          <w:szCs w:val="19"/>
        </w:rPr>
        <w:t>What are the diagnostic criteria of acute pancreatitis?</w:t>
      </w:r>
    </w:p>
    <w:p w14:paraId="37B03F0D" w14:textId="319BF6D1" w:rsidR="00B81DF7" w:rsidRPr="00B81DF7" w:rsidRDefault="00B81DF7" w:rsidP="00B81DF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1DF7">
        <w:rPr>
          <w:rFonts w:ascii="Arial" w:eastAsia="Times New Roman" w:hAnsi="Arial" w:cs="Arial"/>
          <w:color w:val="222222"/>
          <w:sz w:val="19"/>
          <w:szCs w:val="19"/>
        </w:rPr>
        <w:t xml:space="preserve">At what level are triglycerides considered potentially causative? </w:t>
      </w:r>
    </w:p>
    <w:p w14:paraId="7833B590" w14:textId="61FFDC81" w:rsidR="00B81DF7" w:rsidRPr="00B81DF7" w:rsidRDefault="00B81DF7" w:rsidP="00B81DF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1DF7">
        <w:rPr>
          <w:rFonts w:ascii="Arial" w:eastAsia="Times New Roman" w:hAnsi="Arial" w:cs="Arial"/>
          <w:color w:val="222222"/>
          <w:sz w:val="19"/>
          <w:szCs w:val="19"/>
        </w:rPr>
        <w:t>Why can patients with chronic pancreatitis present without elevated pancreatic enzymes?</w:t>
      </w:r>
    </w:p>
    <w:p w14:paraId="2F55CC8C" w14:textId="55EED225" w:rsidR="00B81DF7" w:rsidRPr="00B81DF7" w:rsidRDefault="00B81DF7" w:rsidP="00B81DF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1DF7">
        <w:rPr>
          <w:rFonts w:ascii="Arial" w:eastAsia="Times New Roman" w:hAnsi="Arial" w:cs="Arial"/>
          <w:color w:val="222222"/>
          <w:sz w:val="19"/>
          <w:szCs w:val="19"/>
        </w:rPr>
        <w:t>What are the classic findings in AIP?</w:t>
      </w:r>
    </w:p>
    <w:p w14:paraId="0994F08D" w14:textId="77777777" w:rsidR="00B81DF7" w:rsidRPr="00B81DF7" w:rsidRDefault="00B81DF7" w:rsidP="00B81DF7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7950CF76" w14:textId="77777777" w:rsidR="00B81DF7" w:rsidRPr="00B81DF7" w:rsidRDefault="00B81DF7" w:rsidP="00B81DF7">
      <w:pPr>
        <w:spacing w:after="0" w:line="240" w:lineRule="auto"/>
        <w:rPr>
          <w:rFonts w:ascii="Arial" w:hAnsi="Arial" w:cs="Arial"/>
          <w:sz w:val="19"/>
          <w:szCs w:val="19"/>
        </w:rPr>
      </w:pPr>
    </w:p>
    <w:sectPr w:rsidR="00B81DF7" w:rsidRPr="00B8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311"/>
    <w:multiLevelType w:val="hybridMultilevel"/>
    <w:tmpl w:val="14C6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398"/>
    <w:multiLevelType w:val="hybridMultilevel"/>
    <w:tmpl w:val="768C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629C"/>
    <w:multiLevelType w:val="hybridMultilevel"/>
    <w:tmpl w:val="A21A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001D"/>
    <w:multiLevelType w:val="hybridMultilevel"/>
    <w:tmpl w:val="05D0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F7"/>
    <w:rsid w:val="00B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D7A4"/>
  <w15:chartTrackingRefBased/>
  <w15:docId w15:val="{5B4982B9-8F74-4834-B979-817AB35D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D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1</cp:revision>
  <dcterms:created xsi:type="dcterms:W3CDTF">2020-04-18T22:29:00Z</dcterms:created>
  <dcterms:modified xsi:type="dcterms:W3CDTF">2020-04-18T22:35:00Z</dcterms:modified>
</cp:coreProperties>
</file>