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D9ED3" w14:textId="5B692C62" w:rsidR="002F7D83" w:rsidRDefault="002F7D83" w:rsidP="002F7D83">
      <w:pPr>
        <w:rPr>
          <w:rFonts w:ascii="Times New Roman" w:hAnsi="Times New Roman" w:cs="Times New Roman"/>
          <w:b/>
          <w:sz w:val="20"/>
          <w:szCs w:val="20"/>
          <w:u w:val="single"/>
        </w:rPr>
      </w:pPr>
      <w:r>
        <w:rPr>
          <w:rFonts w:ascii="Times New Roman" w:hAnsi="Times New Roman" w:cs="Times New Roman"/>
          <w:b/>
          <w:sz w:val="20"/>
          <w:szCs w:val="20"/>
          <w:u w:val="single"/>
        </w:rPr>
        <w:t>January 08, 201</w:t>
      </w:r>
      <w:r w:rsidR="00330FA8">
        <w:rPr>
          <w:rFonts w:ascii="Times New Roman" w:hAnsi="Times New Roman" w:cs="Times New Roman"/>
          <w:b/>
          <w:sz w:val="20"/>
          <w:szCs w:val="20"/>
          <w:u w:val="single"/>
        </w:rPr>
        <w:t>9</w:t>
      </w:r>
      <w:bookmarkStart w:id="0" w:name="_GoBack"/>
      <w:bookmarkEnd w:id="0"/>
    </w:p>
    <w:p w14:paraId="2B1C28DA" w14:textId="7527F562" w:rsidR="002F7D83" w:rsidRPr="002F7D83" w:rsidRDefault="002F7D83" w:rsidP="002F7D83">
      <w:pPr>
        <w:rPr>
          <w:rFonts w:ascii="Times New Roman" w:hAnsi="Times New Roman" w:cs="Times New Roman"/>
          <w:sz w:val="20"/>
          <w:szCs w:val="20"/>
        </w:rPr>
      </w:pPr>
      <w:r w:rsidRPr="002F7D83">
        <w:rPr>
          <w:rFonts w:ascii="Times New Roman" w:hAnsi="Times New Roman" w:cs="Times New Roman"/>
          <w:sz w:val="20"/>
          <w:szCs w:val="20"/>
        </w:rPr>
        <w:t xml:space="preserve">09:40-10:25 - </w:t>
      </w:r>
      <w:r w:rsidRPr="002F7D83">
        <w:rPr>
          <w:rFonts w:ascii="Times New Roman" w:hAnsi="Times New Roman" w:cs="Times New Roman"/>
          <w:sz w:val="20"/>
          <w:szCs w:val="20"/>
        </w:rPr>
        <w:t>Urinalysis Cases:</w:t>
      </w:r>
    </w:p>
    <w:p w14:paraId="72580923" w14:textId="77777777" w:rsidR="002F7D83" w:rsidRPr="00687EA1" w:rsidRDefault="002F7D83" w:rsidP="002F7D83">
      <w:pPr>
        <w:pStyle w:val="ListParagraph"/>
        <w:numPr>
          <w:ilvl w:val="0"/>
          <w:numId w:val="1"/>
        </w:numPr>
      </w:pPr>
      <w:r w:rsidRPr="00687EA1">
        <w:t>Describe the appropriate urine specimen collection and storage in ambulatory patients and hospitalized patients with Foley catheters in order to accurately interpret the urinalysis.</w:t>
      </w:r>
    </w:p>
    <w:p w14:paraId="36636AAB" w14:textId="77777777" w:rsidR="002F7D83" w:rsidRPr="00687EA1" w:rsidRDefault="002F7D83" w:rsidP="002F7D83">
      <w:pPr>
        <w:pStyle w:val="ListParagraph"/>
        <w:numPr>
          <w:ilvl w:val="0"/>
          <w:numId w:val="1"/>
        </w:numPr>
      </w:pPr>
      <w:r w:rsidRPr="00687EA1">
        <w:t>List the possible causes of urine that is cloudy, orange, brown, or red.</w:t>
      </w:r>
    </w:p>
    <w:p w14:paraId="1EFFEBC7" w14:textId="77777777" w:rsidR="002F7D83" w:rsidRPr="00687EA1" w:rsidRDefault="002F7D83" w:rsidP="002F7D83">
      <w:pPr>
        <w:pStyle w:val="ListParagraph"/>
        <w:numPr>
          <w:ilvl w:val="0"/>
          <w:numId w:val="1"/>
        </w:numPr>
      </w:pPr>
      <w:r w:rsidRPr="00687EA1">
        <w:t>Complete the urinalysis table:</w:t>
      </w:r>
    </w:p>
    <w:tbl>
      <w:tblPr>
        <w:tblStyle w:val="TableGrid"/>
        <w:tblW w:w="0" w:type="auto"/>
        <w:tblInd w:w="720" w:type="dxa"/>
        <w:tblLook w:val="04A0" w:firstRow="1" w:lastRow="0" w:firstColumn="1" w:lastColumn="0" w:noHBand="0" w:noVBand="1"/>
      </w:tblPr>
      <w:tblGrid>
        <w:gridCol w:w="2175"/>
        <w:gridCol w:w="2143"/>
        <w:gridCol w:w="2163"/>
        <w:gridCol w:w="2149"/>
      </w:tblGrid>
      <w:tr w:rsidR="002F7D83" w:rsidRPr="00687EA1" w14:paraId="44D661E8" w14:textId="77777777" w:rsidTr="00BD4F18">
        <w:tc>
          <w:tcPr>
            <w:tcW w:w="2214" w:type="dxa"/>
          </w:tcPr>
          <w:p w14:paraId="5B04F9F9" w14:textId="77777777" w:rsidR="002F7D83" w:rsidRPr="00687EA1" w:rsidRDefault="002F7D83" w:rsidP="00BD4F18">
            <w:pPr>
              <w:pStyle w:val="ListParagraph"/>
              <w:ind w:left="0"/>
            </w:pPr>
          </w:p>
        </w:tc>
        <w:tc>
          <w:tcPr>
            <w:tcW w:w="2214" w:type="dxa"/>
          </w:tcPr>
          <w:p w14:paraId="68F6A6A3" w14:textId="77777777" w:rsidR="002F7D83" w:rsidRPr="00687EA1" w:rsidRDefault="002F7D83" w:rsidP="00BD4F18">
            <w:pPr>
              <w:pStyle w:val="ListParagraph"/>
              <w:ind w:left="0"/>
              <w:jc w:val="center"/>
            </w:pPr>
            <w:r w:rsidRPr="00687EA1">
              <w:t>Normal value</w:t>
            </w:r>
          </w:p>
        </w:tc>
        <w:tc>
          <w:tcPr>
            <w:tcW w:w="2214" w:type="dxa"/>
          </w:tcPr>
          <w:p w14:paraId="5963AB9B" w14:textId="77777777" w:rsidR="002F7D83" w:rsidRPr="00687EA1" w:rsidRDefault="002F7D83" w:rsidP="00BD4F18">
            <w:pPr>
              <w:pStyle w:val="ListParagraph"/>
              <w:ind w:left="0"/>
              <w:jc w:val="center"/>
            </w:pPr>
            <w:r w:rsidRPr="00687EA1">
              <w:t>High</w:t>
            </w:r>
          </w:p>
          <w:p w14:paraId="5FBB44D4" w14:textId="77777777" w:rsidR="002F7D83" w:rsidRPr="00687EA1" w:rsidRDefault="002F7D83" w:rsidP="00BD4F18">
            <w:pPr>
              <w:pStyle w:val="ListParagraph"/>
              <w:ind w:left="0"/>
              <w:jc w:val="center"/>
            </w:pPr>
            <w:r w:rsidRPr="00687EA1">
              <w:t>(causes)</w:t>
            </w:r>
          </w:p>
        </w:tc>
        <w:tc>
          <w:tcPr>
            <w:tcW w:w="2214" w:type="dxa"/>
          </w:tcPr>
          <w:p w14:paraId="2E4C6BF5" w14:textId="77777777" w:rsidR="002F7D83" w:rsidRPr="00687EA1" w:rsidRDefault="002F7D83" w:rsidP="00BD4F18">
            <w:pPr>
              <w:pStyle w:val="ListParagraph"/>
              <w:ind w:left="0"/>
              <w:jc w:val="center"/>
            </w:pPr>
            <w:r w:rsidRPr="00687EA1">
              <w:t>Low value (causes)</w:t>
            </w:r>
          </w:p>
        </w:tc>
      </w:tr>
      <w:tr w:rsidR="002F7D83" w:rsidRPr="00687EA1" w14:paraId="5631B113" w14:textId="77777777" w:rsidTr="00BD4F18">
        <w:tc>
          <w:tcPr>
            <w:tcW w:w="2214" w:type="dxa"/>
          </w:tcPr>
          <w:p w14:paraId="6F76DB31" w14:textId="77777777" w:rsidR="002F7D83" w:rsidRPr="00687EA1" w:rsidRDefault="002F7D83" w:rsidP="00BD4F18">
            <w:pPr>
              <w:pStyle w:val="ListParagraph"/>
              <w:ind w:left="0"/>
            </w:pPr>
            <w:r w:rsidRPr="00687EA1">
              <w:t>Specific gravity</w:t>
            </w:r>
          </w:p>
        </w:tc>
        <w:tc>
          <w:tcPr>
            <w:tcW w:w="2214" w:type="dxa"/>
          </w:tcPr>
          <w:p w14:paraId="3DC3E5CE" w14:textId="77777777" w:rsidR="002F7D83" w:rsidRPr="00687EA1" w:rsidRDefault="002F7D83" w:rsidP="00BD4F18">
            <w:pPr>
              <w:pStyle w:val="ListParagraph"/>
              <w:ind w:left="0"/>
              <w:jc w:val="center"/>
            </w:pPr>
            <w:r w:rsidRPr="00687EA1">
              <w:t>1.003-1.030</w:t>
            </w:r>
          </w:p>
        </w:tc>
        <w:tc>
          <w:tcPr>
            <w:tcW w:w="2214" w:type="dxa"/>
          </w:tcPr>
          <w:p w14:paraId="1F53E52E" w14:textId="77777777" w:rsidR="002F7D83" w:rsidRPr="00687EA1" w:rsidRDefault="002F7D83" w:rsidP="00BD4F18">
            <w:pPr>
              <w:pStyle w:val="ListParagraph"/>
              <w:ind w:left="0"/>
            </w:pPr>
            <w:r w:rsidRPr="00687EA1">
              <w:t>Dehydration</w:t>
            </w:r>
          </w:p>
          <w:p w14:paraId="708BEB47" w14:textId="77777777" w:rsidR="002F7D83" w:rsidRPr="00687EA1" w:rsidRDefault="002F7D83" w:rsidP="00BD4F18">
            <w:pPr>
              <w:pStyle w:val="ListParagraph"/>
              <w:ind w:left="0"/>
            </w:pPr>
            <w:r w:rsidRPr="00687EA1">
              <w:t>Glycosuria</w:t>
            </w:r>
          </w:p>
          <w:p w14:paraId="42CDED44" w14:textId="77777777" w:rsidR="002F7D83" w:rsidRPr="00687EA1" w:rsidRDefault="002F7D83" w:rsidP="00BD4F18">
            <w:pPr>
              <w:pStyle w:val="ListParagraph"/>
              <w:ind w:left="0"/>
            </w:pPr>
            <w:r w:rsidRPr="00687EA1">
              <w:t>SIADH</w:t>
            </w:r>
          </w:p>
        </w:tc>
        <w:tc>
          <w:tcPr>
            <w:tcW w:w="2214" w:type="dxa"/>
          </w:tcPr>
          <w:p w14:paraId="711427E3" w14:textId="77777777" w:rsidR="002F7D83" w:rsidRPr="00687EA1" w:rsidRDefault="002F7D83" w:rsidP="00BD4F18">
            <w:pPr>
              <w:pStyle w:val="ListParagraph"/>
              <w:ind w:left="0"/>
            </w:pPr>
            <w:r w:rsidRPr="00687EA1">
              <w:t>Well hydrated</w:t>
            </w:r>
          </w:p>
          <w:p w14:paraId="2D4B15AB" w14:textId="77777777" w:rsidR="002F7D83" w:rsidRPr="00687EA1" w:rsidRDefault="002F7D83" w:rsidP="00BD4F18">
            <w:pPr>
              <w:pStyle w:val="ListParagraph"/>
              <w:ind w:left="0"/>
            </w:pPr>
            <w:r w:rsidRPr="00687EA1">
              <w:t>Diuretic use</w:t>
            </w:r>
          </w:p>
          <w:p w14:paraId="348B11AC" w14:textId="77777777" w:rsidR="002F7D83" w:rsidRPr="00687EA1" w:rsidRDefault="002F7D83" w:rsidP="00BD4F18">
            <w:pPr>
              <w:pStyle w:val="ListParagraph"/>
              <w:ind w:left="0"/>
            </w:pPr>
            <w:r w:rsidRPr="00687EA1">
              <w:t>Diabetes insipidus</w:t>
            </w:r>
          </w:p>
        </w:tc>
      </w:tr>
      <w:tr w:rsidR="002F7D83" w:rsidRPr="00687EA1" w14:paraId="3F11771E" w14:textId="77777777" w:rsidTr="00BD4F18">
        <w:trPr>
          <w:trHeight w:val="881"/>
        </w:trPr>
        <w:tc>
          <w:tcPr>
            <w:tcW w:w="2214" w:type="dxa"/>
          </w:tcPr>
          <w:p w14:paraId="4B630B94" w14:textId="77777777" w:rsidR="002F7D83" w:rsidRPr="00687EA1" w:rsidRDefault="002F7D83" w:rsidP="00BD4F18">
            <w:pPr>
              <w:pStyle w:val="ListParagraph"/>
              <w:ind w:left="0"/>
            </w:pPr>
            <w:r w:rsidRPr="00687EA1">
              <w:t>pH</w:t>
            </w:r>
          </w:p>
        </w:tc>
        <w:tc>
          <w:tcPr>
            <w:tcW w:w="2214" w:type="dxa"/>
          </w:tcPr>
          <w:p w14:paraId="31C01943" w14:textId="77777777" w:rsidR="002F7D83" w:rsidRPr="00687EA1" w:rsidRDefault="002F7D83" w:rsidP="00BD4F18">
            <w:pPr>
              <w:pStyle w:val="ListParagraph"/>
              <w:ind w:left="0"/>
              <w:jc w:val="center"/>
            </w:pPr>
            <w:r w:rsidRPr="00687EA1">
              <w:t>5.5-6.5</w:t>
            </w:r>
          </w:p>
        </w:tc>
        <w:tc>
          <w:tcPr>
            <w:tcW w:w="2214" w:type="dxa"/>
          </w:tcPr>
          <w:p w14:paraId="3195F9C8" w14:textId="77777777" w:rsidR="002F7D83" w:rsidRPr="00687EA1" w:rsidRDefault="002F7D83" w:rsidP="00BD4F18">
            <w:pPr>
              <w:pStyle w:val="ListParagraph"/>
              <w:ind w:left="0"/>
            </w:pPr>
          </w:p>
        </w:tc>
        <w:tc>
          <w:tcPr>
            <w:tcW w:w="2214" w:type="dxa"/>
          </w:tcPr>
          <w:p w14:paraId="619C2A59" w14:textId="77777777" w:rsidR="002F7D83" w:rsidRPr="00687EA1" w:rsidRDefault="002F7D83" w:rsidP="00BD4F18">
            <w:pPr>
              <w:pStyle w:val="ListParagraph"/>
              <w:ind w:left="0"/>
            </w:pPr>
          </w:p>
        </w:tc>
      </w:tr>
      <w:tr w:rsidR="002F7D83" w:rsidRPr="00687EA1" w14:paraId="00A03791" w14:textId="77777777" w:rsidTr="00BD4F18">
        <w:trPr>
          <w:trHeight w:val="944"/>
        </w:trPr>
        <w:tc>
          <w:tcPr>
            <w:tcW w:w="2214" w:type="dxa"/>
          </w:tcPr>
          <w:p w14:paraId="1C138B20" w14:textId="77777777" w:rsidR="002F7D83" w:rsidRPr="00687EA1" w:rsidRDefault="002F7D83" w:rsidP="00BD4F18">
            <w:pPr>
              <w:pStyle w:val="ListParagraph"/>
              <w:ind w:left="0"/>
            </w:pPr>
            <w:r w:rsidRPr="00687EA1">
              <w:t>RBC/hematuria</w:t>
            </w:r>
          </w:p>
        </w:tc>
        <w:tc>
          <w:tcPr>
            <w:tcW w:w="2214" w:type="dxa"/>
          </w:tcPr>
          <w:p w14:paraId="34CCFA35" w14:textId="77777777" w:rsidR="002F7D83" w:rsidRPr="00687EA1" w:rsidRDefault="002F7D83" w:rsidP="00BD4F18">
            <w:pPr>
              <w:pStyle w:val="ListParagraph"/>
              <w:ind w:left="0"/>
              <w:jc w:val="center"/>
            </w:pPr>
            <w:r w:rsidRPr="00687EA1">
              <w:t>0-2/HPF</w:t>
            </w:r>
          </w:p>
        </w:tc>
        <w:tc>
          <w:tcPr>
            <w:tcW w:w="2214" w:type="dxa"/>
          </w:tcPr>
          <w:p w14:paraId="36A783D8" w14:textId="77777777" w:rsidR="002F7D83" w:rsidRPr="00687EA1" w:rsidRDefault="002F7D83" w:rsidP="00BD4F18">
            <w:pPr>
              <w:pStyle w:val="ListParagraph"/>
              <w:ind w:left="0"/>
            </w:pPr>
          </w:p>
        </w:tc>
        <w:tc>
          <w:tcPr>
            <w:tcW w:w="2214" w:type="dxa"/>
          </w:tcPr>
          <w:p w14:paraId="5379BEF9" w14:textId="77777777" w:rsidR="002F7D83" w:rsidRPr="00687EA1" w:rsidRDefault="002F7D83" w:rsidP="00BD4F18">
            <w:pPr>
              <w:pStyle w:val="ListParagraph"/>
              <w:ind w:left="0"/>
            </w:pPr>
          </w:p>
        </w:tc>
      </w:tr>
      <w:tr w:rsidR="002F7D83" w:rsidRPr="00687EA1" w14:paraId="5403686C" w14:textId="77777777" w:rsidTr="00BD4F18">
        <w:trPr>
          <w:trHeight w:val="1106"/>
        </w:trPr>
        <w:tc>
          <w:tcPr>
            <w:tcW w:w="2214" w:type="dxa"/>
          </w:tcPr>
          <w:p w14:paraId="1D8078BD" w14:textId="77777777" w:rsidR="002F7D83" w:rsidRPr="00687EA1" w:rsidRDefault="002F7D83" w:rsidP="00BD4F18">
            <w:pPr>
              <w:pStyle w:val="ListParagraph"/>
              <w:ind w:left="0"/>
            </w:pPr>
            <w:r w:rsidRPr="00687EA1">
              <w:t>Proteinuria</w:t>
            </w:r>
          </w:p>
          <w:p w14:paraId="64A4B3F0" w14:textId="77777777" w:rsidR="002F7D83" w:rsidRPr="00687EA1" w:rsidRDefault="002F7D83" w:rsidP="00BD4F18">
            <w:pPr>
              <w:pStyle w:val="ListParagraph"/>
              <w:ind w:left="0"/>
            </w:pPr>
          </w:p>
        </w:tc>
        <w:tc>
          <w:tcPr>
            <w:tcW w:w="2214" w:type="dxa"/>
          </w:tcPr>
          <w:p w14:paraId="1D97FC42" w14:textId="77777777" w:rsidR="002F7D83" w:rsidRPr="00687EA1" w:rsidRDefault="002F7D83" w:rsidP="00BD4F18">
            <w:pPr>
              <w:pStyle w:val="ListParagraph"/>
              <w:ind w:left="0"/>
              <w:jc w:val="center"/>
            </w:pPr>
            <w:r w:rsidRPr="00687EA1">
              <w:t>&lt;150 mg/24 hours</w:t>
            </w:r>
          </w:p>
          <w:p w14:paraId="6AB527B9" w14:textId="77777777" w:rsidR="002F7D83" w:rsidRPr="00687EA1" w:rsidRDefault="002F7D83" w:rsidP="00BD4F18">
            <w:pPr>
              <w:pStyle w:val="ListParagraph"/>
              <w:ind w:left="0"/>
            </w:pPr>
          </w:p>
        </w:tc>
        <w:tc>
          <w:tcPr>
            <w:tcW w:w="2214" w:type="dxa"/>
          </w:tcPr>
          <w:p w14:paraId="42C1C371" w14:textId="77777777" w:rsidR="002F7D83" w:rsidRPr="00687EA1" w:rsidRDefault="002F7D83" w:rsidP="00BD4F18">
            <w:pPr>
              <w:pStyle w:val="ListParagraph"/>
              <w:ind w:left="0"/>
            </w:pPr>
          </w:p>
        </w:tc>
        <w:tc>
          <w:tcPr>
            <w:tcW w:w="2214" w:type="dxa"/>
          </w:tcPr>
          <w:p w14:paraId="1E739AB9" w14:textId="77777777" w:rsidR="002F7D83" w:rsidRPr="00687EA1" w:rsidRDefault="002F7D83" w:rsidP="00BD4F18">
            <w:pPr>
              <w:pStyle w:val="ListParagraph"/>
              <w:ind w:left="0"/>
            </w:pPr>
          </w:p>
        </w:tc>
      </w:tr>
      <w:tr w:rsidR="002F7D83" w:rsidRPr="00687EA1" w14:paraId="2BE31ADB" w14:textId="77777777" w:rsidTr="00BD4F18">
        <w:trPr>
          <w:trHeight w:val="1106"/>
        </w:trPr>
        <w:tc>
          <w:tcPr>
            <w:tcW w:w="2214" w:type="dxa"/>
          </w:tcPr>
          <w:p w14:paraId="21C9E070" w14:textId="77777777" w:rsidR="002F7D83" w:rsidRPr="00687EA1" w:rsidRDefault="002F7D83" w:rsidP="00BD4F18">
            <w:pPr>
              <w:pStyle w:val="ListParagraph"/>
              <w:ind w:left="0"/>
            </w:pPr>
            <w:r w:rsidRPr="00687EA1">
              <w:t>Albuminuria</w:t>
            </w:r>
          </w:p>
        </w:tc>
        <w:tc>
          <w:tcPr>
            <w:tcW w:w="2214" w:type="dxa"/>
          </w:tcPr>
          <w:p w14:paraId="58B3DD10" w14:textId="77777777" w:rsidR="002F7D83" w:rsidRPr="00687EA1" w:rsidRDefault="002F7D83" w:rsidP="00BD4F18">
            <w:pPr>
              <w:pStyle w:val="ListParagraph"/>
              <w:ind w:left="0"/>
              <w:jc w:val="center"/>
            </w:pPr>
            <w:r w:rsidRPr="00687EA1">
              <w:t>&lt;30 mg/24 hours</w:t>
            </w:r>
          </w:p>
        </w:tc>
        <w:tc>
          <w:tcPr>
            <w:tcW w:w="2214" w:type="dxa"/>
          </w:tcPr>
          <w:p w14:paraId="07348762" w14:textId="77777777" w:rsidR="002F7D83" w:rsidRPr="00687EA1" w:rsidRDefault="002F7D83" w:rsidP="00BD4F18">
            <w:pPr>
              <w:pStyle w:val="ListParagraph"/>
              <w:ind w:left="0"/>
            </w:pPr>
          </w:p>
        </w:tc>
        <w:tc>
          <w:tcPr>
            <w:tcW w:w="2214" w:type="dxa"/>
          </w:tcPr>
          <w:p w14:paraId="053A628B" w14:textId="77777777" w:rsidR="002F7D83" w:rsidRPr="00687EA1" w:rsidRDefault="002F7D83" w:rsidP="00BD4F18">
            <w:pPr>
              <w:pStyle w:val="ListParagraph"/>
              <w:ind w:left="0"/>
            </w:pPr>
          </w:p>
        </w:tc>
      </w:tr>
      <w:tr w:rsidR="002F7D83" w:rsidRPr="00687EA1" w14:paraId="3DE0706A" w14:textId="77777777" w:rsidTr="00BD4F18">
        <w:trPr>
          <w:trHeight w:val="1070"/>
        </w:trPr>
        <w:tc>
          <w:tcPr>
            <w:tcW w:w="2214" w:type="dxa"/>
          </w:tcPr>
          <w:p w14:paraId="428A0B6A" w14:textId="77777777" w:rsidR="002F7D83" w:rsidRPr="00687EA1" w:rsidRDefault="002F7D83" w:rsidP="00BD4F18">
            <w:pPr>
              <w:pStyle w:val="ListParagraph"/>
              <w:ind w:left="0"/>
            </w:pPr>
            <w:r w:rsidRPr="00687EA1">
              <w:t>Glucosuria</w:t>
            </w:r>
          </w:p>
        </w:tc>
        <w:tc>
          <w:tcPr>
            <w:tcW w:w="2214" w:type="dxa"/>
          </w:tcPr>
          <w:p w14:paraId="44E4C2C4" w14:textId="77777777" w:rsidR="002F7D83" w:rsidRPr="00687EA1" w:rsidRDefault="002F7D83" w:rsidP="00BD4F18">
            <w:pPr>
              <w:pStyle w:val="ListParagraph"/>
              <w:ind w:left="0"/>
              <w:jc w:val="center"/>
            </w:pPr>
            <w:r w:rsidRPr="00687EA1">
              <w:t>None</w:t>
            </w:r>
          </w:p>
        </w:tc>
        <w:tc>
          <w:tcPr>
            <w:tcW w:w="2214" w:type="dxa"/>
          </w:tcPr>
          <w:p w14:paraId="1710AA34" w14:textId="77777777" w:rsidR="002F7D83" w:rsidRPr="00687EA1" w:rsidRDefault="002F7D83" w:rsidP="00BD4F18">
            <w:pPr>
              <w:pStyle w:val="ListParagraph"/>
              <w:ind w:left="0"/>
            </w:pPr>
          </w:p>
        </w:tc>
        <w:tc>
          <w:tcPr>
            <w:tcW w:w="2214" w:type="dxa"/>
          </w:tcPr>
          <w:p w14:paraId="755E4DED" w14:textId="77777777" w:rsidR="002F7D83" w:rsidRPr="00687EA1" w:rsidRDefault="002F7D83" w:rsidP="00BD4F18">
            <w:pPr>
              <w:pStyle w:val="ListParagraph"/>
              <w:ind w:left="0"/>
            </w:pPr>
          </w:p>
        </w:tc>
      </w:tr>
      <w:tr w:rsidR="002F7D83" w:rsidRPr="00687EA1" w14:paraId="1B7664C1" w14:textId="77777777" w:rsidTr="00BD4F18">
        <w:trPr>
          <w:trHeight w:val="1061"/>
        </w:trPr>
        <w:tc>
          <w:tcPr>
            <w:tcW w:w="2214" w:type="dxa"/>
          </w:tcPr>
          <w:p w14:paraId="66455AF6" w14:textId="77777777" w:rsidR="002F7D83" w:rsidRPr="00687EA1" w:rsidRDefault="002F7D83" w:rsidP="00BD4F18">
            <w:pPr>
              <w:pStyle w:val="ListParagraph"/>
              <w:ind w:left="0"/>
            </w:pPr>
            <w:r w:rsidRPr="00687EA1">
              <w:t>Ketonuria</w:t>
            </w:r>
          </w:p>
        </w:tc>
        <w:tc>
          <w:tcPr>
            <w:tcW w:w="2214" w:type="dxa"/>
          </w:tcPr>
          <w:p w14:paraId="0DBF8203" w14:textId="77777777" w:rsidR="002F7D83" w:rsidRPr="00687EA1" w:rsidRDefault="002F7D83" w:rsidP="00BD4F18">
            <w:pPr>
              <w:pStyle w:val="ListParagraph"/>
              <w:ind w:left="0"/>
              <w:jc w:val="center"/>
            </w:pPr>
            <w:r w:rsidRPr="00687EA1">
              <w:t>None</w:t>
            </w:r>
          </w:p>
        </w:tc>
        <w:tc>
          <w:tcPr>
            <w:tcW w:w="2214" w:type="dxa"/>
          </w:tcPr>
          <w:p w14:paraId="06EB5D1F" w14:textId="77777777" w:rsidR="002F7D83" w:rsidRPr="00687EA1" w:rsidRDefault="002F7D83" w:rsidP="00BD4F18">
            <w:pPr>
              <w:pStyle w:val="ListParagraph"/>
              <w:ind w:left="0"/>
            </w:pPr>
          </w:p>
        </w:tc>
        <w:tc>
          <w:tcPr>
            <w:tcW w:w="2214" w:type="dxa"/>
          </w:tcPr>
          <w:p w14:paraId="0E60324D" w14:textId="77777777" w:rsidR="002F7D83" w:rsidRPr="00687EA1" w:rsidRDefault="002F7D83" w:rsidP="00BD4F18">
            <w:pPr>
              <w:pStyle w:val="ListParagraph"/>
              <w:ind w:left="0"/>
            </w:pPr>
          </w:p>
        </w:tc>
      </w:tr>
      <w:tr w:rsidR="002F7D83" w:rsidRPr="00687EA1" w14:paraId="12BAC5D7" w14:textId="77777777" w:rsidTr="00BD4F18">
        <w:trPr>
          <w:trHeight w:val="944"/>
        </w:trPr>
        <w:tc>
          <w:tcPr>
            <w:tcW w:w="2214" w:type="dxa"/>
          </w:tcPr>
          <w:p w14:paraId="2803FD1B" w14:textId="77777777" w:rsidR="002F7D83" w:rsidRPr="00687EA1" w:rsidRDefault="002F7D83" w:rsidP="00BD4F18">
            <w:pPr>
              <w:pStyle w:val="ListParagraph"/>
              <w:ind w:left="0"/>
            </w:pPr>
            <w:r w:rsidRPr="00687EA1">
              <w:t>Nitrites</w:t>
            </w:r>
          </w:p>
        </w:tc>
        <w:tc>
          <w:tcPr>
            <w:tcW w:w="2214" w:type="dxa"/>
          </w:tcPr>
          <w:p w14:paraId="3C11C91A" w14:textId="77777777" w:rsidR="002F7D83" w:rsidRPr="00687EA1" w:rsidRDefault="002F7D83" w:rsidP="00BD4F18">
            <w:pPr>
              <w:pStyle w:val="ListParagraph"/>
              <w:ind w:left="0"/>
              <w:jc w:val="center"/>
            </w:pPr>
            <w:r w:rsidRPr="00687EA1">
              <w:t>None</w:t>
            </w:r>
          </w:p>
        </w:tc>
        <w:tc>
          <w:tcPr>
            <w:tcW w:w="2214" w:type="dxa"/>
          </w:tcPr>
          <w:p w14:paraId="115CD18D" w14:textId="77777777" w:rsidR="002F7D83" w:rsidRPr="00687EA1" w:rsidRDefault="002F7D83" w:rsidP="00BD4F18">
            <w:pPr>
              <w:pStyle w:val="ListParagraph"/>
              <w:ind w:left="0"/>
            </w:pPr>
          </w:p>
        </w:tc>
        <w:tc>
          <w:tcPr>
            <w:tcW w:w="2214" w:type="dxa"/>
          </w:tcPr>
          <w:p w14:paraId="30DFBF4D" w14:textId="77777777" w:rsidR="002F7D83" w:rsidRPr="00687EA1" w:rsidRDefault="002F7D83" w:rsidP="00BD4F18">
            <w:pPr>
              <w:pStyle w:val="ListParagraph"/>
              <w:ind w:left="0"/>
            </w:pPr>
          </w:p>
        </w:tc>
      </w:tr>
      <w:tr w:rsidR="002F7D83" w:rsidRPr="00687EA1" w14:paraId="22755DC9" w14:textId="77777777" w:rsidTr="00BD4F18">
        <w:trPr>
          <w:trHeight w:val="998"/>
        </w:trPr>
        <w:tc>
          <w:tcPr>
            <w:tcW w:w="2214" w:type="dxa"/>
          </w:tcPr>
          <w:p w14:paraId="22448CEB" w14:textId="77777777" w:rsidR="002F7D83" w:rsidRPr="00687EA1" w:rsidRDefault="002F7D83" w:rsidP="00BD4F18">
            <w:pPr>
              <w:pStyle w:val="ListParagraph"/>
              <w:ind w:left="0"/>
            </w:pPr>
            <w:r w:rsidRPr="00687EA1">
              <w:t>Leukocyte esterase</w:t>
            </w:r>
          </w:p>
        </w:tc>
        <w:tc>
          <w:tcPr>
            <w:tcW w:w="2214" w:type="dxa"/>
          </w:tcPr>
          <w:p w14:paraId="3ADED59C" w14:textId="77777777" w:rsidR="002F7D83" w:rsidRPr="00687EA1" w:rsidRDefault="002F7D83" w:rsidP="00BD4F18">
            <w:pPr>
              <w:pStyle w:val="ListParagraph"/>
              <w:ind w:left="0"/>
              <w:jc w:val="center"/>
            </w:pPr>
            <w:r w:rsidRPr="00687EA1">
              <w:t>None</w:t>
            </w:r>
          </w:p>
        </w:tc>
        <w:tc>
          <w:tcPr>
            <w:tcW w:w="2214" w:type="dxa"/>
          </w:tcPr>
          <w:p w14:paraId="11B58B08" w14:textId="77777777" w:rsidR="002F7D83" w:rsidRPr="00687EA1" w:rsidRDefault="002F7D83" w:rsidP="00BD4F18">
            <w:pPr>
              <w:pStyle w:val="ListParagraph"/>
              <w:ind w:left="0"/>
            </w:pPr>
          </w:p>
        </w:tc>
        <w:tc>
          <w:tcPr>
            <w:tcW w:w="2214" w:type="dxa"/>
          </w:tcPr>
          <w:p w14:paraId="7CA35EB6" w14:textId="77777777" w:rsidR="002F7D83" w:rsidRPr="00687EA1" w:rsidRDefault="002F7D83" w:rsidP="00BD4F18">
            <w:pPr>
              <w:pStyle w:val="ListParagraph"/>
              <w:ind w:left="0"/>
            </w:pPr>
          </w:p>
        </w:tc>
      </w:tr>
    </w:tbl>
    <w:p w14:paraId="0B9BB0A1" w14:textId="77777777" w:rsidR="002F7D83" w:rsidRDefault="002F7D83" w:rsidP="002F7D83">
      <w:pPr>
        <w:pStyle w:val="ListParagraph"/>
        <w:numPr>
          <w:ilvl w:val="0"/>
          <w:numId w:val="1"/>
        </w:numPr>
      </w:pPr>
      <w:r w:rsidRPr="009B6F23">
        <w:t>Describe the conditions associated with the following urine casts: Hyaline, Erythrocyte, Leukocyte, Epithelial, Granular, Fatty.</w:t>
      </w:r>
    </w:p>
    <w:p w14:paraId="6ED3C456" w14:textId="77777777" w:rsidR="002F7D83" w:rsidRPr="009B6F23" w:rsidRDefault="002F7D83" w:rsidP="002F7D83">
      <w:pPr>
        <w:pStyle w:val="ListParagraph"/>
      </w:pPr>
    </w:p>
    <w:p w14:paraId="4D200BC1" w14:textId="3E4EEEB2" w:rsidR="002F7D83" w:rsidRPr="002F7D83" w:rsidRDefault="002F7D83" w:rsidP="002F7D83">
      <w:pPr>
        <w:rPr>
          <w:rFonts w:ascii="Times New Roman" w:hAnsi="Times New Roman" w:cs="Times New Roman"/>
          <w:sz w:val="20"/>
          <w:szCs w:val="20"/>
        </w:rPr>
      </w:pPr>
      <w:r w:rsidRPr="002F7D83">
        <w:rPr>
          <w:rFonts w:ascii="Times New Roman" w:hAnsi="Times New Roman" w:cs="Times New Roman"/>
          <w:sz w:val="20"/>
          <w:szCs w:val="20"/>
        </w:rPr>
        <w:t xml:space="preserve">10:25-11:10 - </w:t>
      </w:r>
      <w:r w:rsidRPr="002F7D83">
        <w:rPr>
          <w:rFonts w:ascii="Times New Roman" w:hAnsi="Times New Roman" w:cs="Times New Roman"/>
          <w:sz w:val="20"/>
          <w:szCs w:val="20"/>
        </w:rPr>
        <w:t>Hyperkalemia</w:t>
      </w:r>
      <w:r w:rsidRPr="002F7D83">
        <w:rPr>
          <w:rFonts w:ascii="Times New Roman" w:hAnsi="Times New Roman" w:cs="Times New Roman"/>
          <w:sz w:val="20"/>
          <w:szCs w:val="20"/>
        </w:rPr>
        <w:t xml:space="preserve"> – Dr. Amandeep Khurana</w:t>
      </w:r>
      <w:r w:rsidRPr="002F7D83">
        <w:rPr>
          <w:rFonts w:ascii="Times New Roman" w:hAnsi="Times New Roman" w:cs="Times New Roman"/>
          <w:sz w:val="20"/>
          <w:szCs w:val="20"/>
        </w:rPr>
        <w:t>:</w:t>
      </w:r>
    </w:p>
    <w:p w14:paraId="616FD655" w14:textId="77777777" w:rsidR="002F7D83" w:rsidRPr="00687EA1" w:rsidRDefault="002F7D83" w:rsidP="002F7D83">
      <w:pPr>
        <w:pStyle w:val="ListParagraph"/>
        <w:numPr>
          <w:ilvl w:val="0"/>
          <w:numId w:val="2"/>
        </w:numPr>
      </w:pPr>
      <w:r w:rsidRPr="00687EA1">
        <w:t xml:space="preserve">Describe the laboratory evaluation that must be obtained to work up the hyperkalemic patient. (Comment on </w:t>
      </w:r>
      <w:proofErr w:type="spellStart"/>
      <w:r w:rsidRPr="00687EA1">
        <w:t>pseudohyperkalemia</w:t>
      </w:r>
      <w:proofErr w:type="spellEnd"/>
      <w:r w:rsidRPr="00687EA1">
        <w:t>, EKG findings and sensitivity, and the required urine studies.)</w:t>
      </w:r>
    </w:p>
    <w:p w14:paraId="1A7E7850" w14:textId="77777777" w:rsidR="002F7D83" w:rsidRDefault="002F7D83" w:rsidP="002F7D83">
      <w:pPr>
        <w:pStyle w:val="ListParagraph"/>
        <w:numPr>
          <w:ilvl w:val="0"/>
          <w:numId w:val="2"/>
        </w:numPr>
      </w:pPr>
      <w:r w:rsidRPr="00687EA1">
        <w:lastRenderedPageBreak/>
        <w:t>Describe the acute management of the hyperkalemic patient including steps to stabilize the myocardial membrane, shift potassium into the cells, and lower the total body potassium. Know the appropriate doses, methods of delivery, and contraindications to calcium gluconate, insulin and glucose, beta-agonists, and kayexalate.</w:t>
      </w:r>
    </w:p>
    <w:p w14:paraId="00DA4B17" w14:textId="77777777" w:rsidR="002F7D83" w:rsidRPr="00687EA1" w:rsidRDefault="002F7D83" w:rsidP="002F7D83">
      <w:pPr>
        <w:pStyle w:val="ListParagraph"/>
        <w:numPr>
          <w:ilvl w:val="0"/>
          <w:numId w:val="2"/>
        </w:numPr>
      </w:pPr>
      <w:r>
        <w:t>Know when to hospitalize and when to treat hyperkalemia.</w:t>
      </w:r>
    </w:p>
    <w:p w14:paraId="13F55507" w14:textId="77777777" w:rsidR="002F7D83" w:rsidRDefault="002F7D83" w:rsidP="002F7D83">
      <w:pPr>
        <w:rPr>
          <w:rFonts w:ascii="Times New Roman" w:hAnsi="Times New Roman" w:cs="Times New Roman"/>
          <w:b/>
          <w:sz w:val="20"/>
          <w:szCs w:val="20"/>
          <w:u w:val="single"/>
        </w:rPr>
      </w:pPr>
    </w:p>
    <w:p w14:paraId="517F6368" w14:textId="2FFAE49F" w:rsidR="002F7D83" w:rsidRPr="002F7D83" w:rsidRDefault="002F7D83" w:rsidP="002F7D83">
      <w:pPr>
        <w:rPr>
          <w:rFonts w:ascii="Times New Roman" w:hAnsi="Times New Roman" w:cs="Times New Roman"/>
          <w:sz w:val="20"/>
          <w:szCs w:val="20"/>
        </w:rPr>
      </w:pPr>
      <w:r w:rsidRPr="002F7D83">
        <w:rPr>
          <w:rFonts w:ascii="Times New Roman" w:hAnsi="Times New Roman" w:cs="Times New Roman"/>
          <w:sz w:val="20"/>
          <w:szCs w:val="20"/>
        </w:rPr>
        <w:t xml:space="preserve">11:30-12:15 - </w:t>
      </w:r>
      <w:r w:rsidRPr="002F7D83">
        <w:rPr>
          <w:rFonts w:ascii="Times New Roman" w:hAnsi="Times New Roman" w:cs="Times New Roman"/>
          <w:sz w:val="20"/>
          <w:szCs w:val="20"/>
        </w:rPr>
        <w:t>Hypertension</w:t>
      </w:r>
      <w:r w:rsidRPr="002F7D83">
        <w:rPr>
          <w:rFonts w:ascii="Times New Roman" w:hAnsi="Times New Roman" w:cs="Times New Roman"/>
          <w:sz w:val="20"/>
          <w:szCs w:val="20"/>
        </w:rPr>
        <w:t xml:space="preserve"> – Dr. Katherine Dahl</w:t>
      </w:r>
      <w:r w:rsidRPr="002F7D83">
        <w:rPr>
          <w:rFonts w:ascii="Times New Roman" w:hAnsi="Times New Roman" w:cs="Times New Roman"/>
          <w:sz w:val="20"/>
          <w:szCs w:val="20"/>
        </w:rPr>
        <w:t>:</w:t>
      </w:r>
    </w:p>
    <w:p w14:paraId="1F157383" w14:textId="77777777" w:rsidR="002F7D83" w:rsidRPr="00687EA1" w:rsidRDefault="002F7D83" w:rsidP="002F7D83">
      <w:pPr>
        <w:pStyle w:val="ListParagraph"/>
        <w:numPr>
          <w:ilvl w:val="0"/>
          <w:numId w:val="3"/>
        </w:numPr>
      </w:pPr>
      <w:r w:rsidRPr="00687EA1">
        <w:t>Define normal blood pressure, pre-hypertension, stage 1 and stage 2 hypertension. Describe the end-organ injuries that occur due to long-standing hypertension.</w:t>
      </w:r>
    </w:p>
    <w:p w14:paraId="14FD28A8" w14:textId="77777777" w:rsidR="002F7D83" w:rsidRPr="00687EA1" w:rsidRDefault="002F7D83" w:rsidP="002F7D83">
      <w:pPr>
        <w:pStyle w:val="ListParagraph"/>
        <w:numPr>
          <w:ilvl w:val="0"/>
          <w:numId w:val="3"/>
        </w:numPr>
      </w:pPr>
      <w:r w:rsidRPr="00687EA1">
        <w:t>Describe the patient(s) who should be evaluated for secondary causes of hypertension and the preferred diagnostic strategy for each identifiable cause.</w:t>
      </w:r>
    </w:p>
    <w:p w14:paraId="4F0D741F" w14:textId="77777777" w:rsidR="002F7D83" w:rsidRPr="00687EA1" w:rsidRDefault="002F7D83" w:rsidP="002F7D83">
      <w:pPr>
        <w:pStyle w:val="ListParagraph"/>
        <w:numPr>
          <w:ilvl w:val="0"/>
          <w:numId w:val="3"/>
        </w:numPr>
        <w:rPr>
          <w:color w:val="000000"/>
        </w:rPr>
      </w:pPr>
      <w:r w:rsidRPr="00687EA1">
        <w:rPr>
          <w:color w:val="000000"/>
        </w:rPr>
        <w:t xml:space="preserve">Identify the medications which are first-line anti-hypertensives for non-black patients and black patients </w:t>
      </w:r>
      <w:r w:rsidRPr="00687EA1">
        <w:rPr>
          <w:i/>
          <w:color w:val="000000"/>
        </w:rPr>
        <w:t>without</w:t>
      </w:r>
      <w:r w:rsidRPr="00687EA1">
        <w:rPr>
          <w:color w:val="000000"/>
        </w:rPr>
        <w:t xml:space="preserve"> DM and CKD and </w:t>
      </w:r>
      <w:r w:rsidRPr="00687EA1">
        <w:rPr>
          <w:i/>
          <w:color w:val="000000"/>
        </w:rPr>
        <w:t>with</w:t>
      </w:r>
      <w:r w:rsidRPr="00687EA1">
        <w:rPr>
          <w:color w:val="000000"/>
        </w:rPr>
        <w:t xml:space="preserve"> DM and CKD.</w:t>
      </w:r>
    </w:p>
    <w:p w14:paraId="522CA0DA" w14:textId="77777777" w:rsidR="002F7D83" w:rsidRPr="00687EA1" w:rsidRDefault="002F7D83" w:rsidP="002F7D83">
      <w:pPr>
        <w:pStyle w:val="ListParagraph"/>
        <w:numPr>
          <w:ilvl w:val="0"/>
          <w:numId w:val="3"/>
        </w:numPr>
        <w:rPr>
          <w:color w:val="000000"/>
        </w:rPr>
      </w:pPr>
      <w:r w:rsidRPr="00687EA1">
        <w:rPr>
          <w:color w:val="000000"/>
        </w:rPr>
        <w:t xml:space="preserve">Identify the BP targets for patients aged ≥ 60 years old, &lt; 60 years old, patients with chronic kidney disease and patients with diabetes.   </w:t>
      </w:r>
    </w:p>
    <w:p w14:paraId="1523B200" w14:textId="77777777" w:rsidR="002F7D83" w:rsidRPr="00687EA1" w:rsidRDefault="002F7D83" w:rsidP="002F7D83">
      <w:pPr>
        <w:pStyle w:val="ListParagraph"/>
        <w:numPr>
          <w:ilvl w:val="0"/>
          <w:numId w:val="3"/>
        </w:numPr>
        <w:rPr>
          <w:color w:val="000000"/>
        </w:rPr>
      </w:pPr>
      <w:r w:rsidRPr="00687EA1">
        <w:rPr>
          <w:color w:val="000000"/>
        </w:rPr>
        <w:t xml:space="preserve">Define hypertensive urgency and emergency and the indications for admission to the hospital and ICU treatments. </w:t>
      </w:r>
    </w:p>
    <w:p w14:paraId="4E5FB05F" w14:textId="77777777" w:rsidR="001E0D46" w:rsidRDefault="001E0D46"/>
    <w:sectPr w:rsidR="001E0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82C"/>
    <w:multiLevelType w:val="hybridMultilevel"/>
    <w:tmpl w:val="745C664E"/>
    <w:lvl w:ilvl="0" w:tplc="16121A4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0270D"/>
    <w:multiLevelType w:val="hybridMultilevel"/>
    <w:tmpl w:val="F6441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13774A"/>
    <w:multiLevelType w:val="hybridMultilevel"/>
    <w:tmpl w:val="2E861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83"/>
    <w:rsid w:val="001E0D46"/>
    <w:rsid w:val="002F7D83"/>
    <w:rsid w:val="00330FA8"/>
    <w:rsid w:val="0050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DCCF"/>
  <w15:chartTrackingRefBased/>
  <w15:docId w15:val="{78EFAC4F-CEEA-425E-B00E-6DEBFF9C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D83"/>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2F7D8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Dodaro</dc:creator>
  <cp:keywords/>
  <dc:description/>
  <cp:lastModifiedBy>Greg Dodaro</cp:lastModifiedBy>
  <cp:revision>2</cp:revision>
  <dcterms:created xsi:type="dcterms:W3CDTF">2019-01-02T03:14:00Z</dcterms:created>
  <dcterms:modified xsi:type="dcterms:W3CDTF">2019-01-02T03:18:00Z</dcterms:modified>
</cp:coreProperties>
</file>