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7B" w:rsidRPr="00275204" w:rsidRDefault="004A3D97" w:rsidP="00275204">
      <w:pPr>
        <w:jc w:val="center"/>
        <w:rPr>
          <w:b/>
        </w:rPr>
      </w:pPr>
      <w:r>
        <w:rPr>
          <w:b/>
        </w:rPr>
        <w:t>BUMCP Abdominal T</w:t>
      </w:r>
      <w:r w:rsidR="00A433A2" w:rsidRPr="00275204">
        <w:rPr>
          <w:b/>
        </w:rPr>
        <w:t xml:space="preserve">ransplant </w:t>
      </w:r>
      <w:r>
        <w:rPr>
          <w:b/>
        </w:rPr>
        <w:t>Guidelines: Adult Vaccine R</w:t>
      </w:r>
      <w:r w:rsidR="00971C7B" w:rsidRPr="00275204">
        <w:rPr>
          <w:b/>
        </w:rPr>
        <w:t>ecommendations</w:t>
      </w:r>
    </w:p>
    <w:p w:rsidR="00613F02" w:rsidRDefault="00613F02" w:rsidP="00613F02">
      <w:pPr>
        <w:pStyle w:val="ListParagraph"/>
        <w:numPr>
          <w:ilvl w:val="0"/>
          <w:numId w:val="3"/>
        </w:numPr>
      </w:pPr>
      <w:r w:rsidRPr="00CE6BFA">
        <w:t>Immunization is one of the most effective ways to protect</w:t>
      </w:r>
      <w:r>
        <w:t xml:space="preserve"> against infectious diseases. </w:t>
      </w:r>
    </w:p>
    <w:p w:rsidR="00613F02" w:rsidRDefault="00613F02" w:rsidP="00613F02">
      <w:pPr>
        <w:pStyle w:val="ListParagraph"/>
        <w:numPr>
          <w:ilvl w:val="0"/>
          <w:numId w:val="3"/>
        </w:numPr>
      </w:pPr>
      <w:r w:rsidRPr="00CE6BFA">
        <w:t>Vaccination plans should be individualized for potential transplant candidates and recipients based on hi</w:t>
      </w:r>
      <w:r>
        <w:t xml:space="preserve">story and serological testing. </w:t>
      </w:r>
    </w:p>
    <w:p w:rsidR="00971C7B" w:rsidRDefault="00613F02" w:rsidP="004A3D97">
      <w:pPr>
        <w:pStyle w:val="ListParagraph"/>
        <w:numPr>
          <w:ilvl w:val="0"/>
          <w:numId w:val="3"/>
        </w:numPr>
      </w:pPr>
      <w:r w:rsidRPr="00CE6BFA">
        <w:t>Optimization of vaccines pre-transplant is recommended whenever possible for the following infectious diseases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535"/>
        <w:gridCol w:w="6162"/>
        <w:gridCol w:w="2039"/>
      </w:tblGrid>
      <w:tr w:rsidR="00971C7B" w:rsidTr="004A3D97">
        <w:tc>
          <w:tcPr>
            <w:tcW w:w="1535" w:type="dxa"/>
          </w:tcPr>
          <w:p w:rsidR="00971C7B" w:rsidRPr="00613F02" w:rsidRDefault="00971C7B" w:rsidP="00613F02">
            <w:pPr>
              <w:jc w:val="center"/>
              <w:rPr>
                <w:b/>
              </w:rPr>
            </w:pPr>
            <w:r w:rsidRPr="00613F02">
              <w:rPr>
                <w:b/>
              </w:rPr>
              <w:t>Disease</w:t>
            </w:r>
          </w:p>
        </w:tc>
        <w:tc>
          <w:tcPr>
            <w:tcW w:w="5840" w:type="dxa"/>
          </w:tcPr>
          <w:p w:rsidR="00971C7B" w:rsidRPr="00613F02" w:rsidRDefault="00971C7B" w:rsidP="00613F02">
            <w:pPr>
              <w:jc w:val="center"/>
              <w:rPr>
                <w:b/>
              </w:rPr>
            </w:pPr>
            <w:proofErr w:type="gramStart"/>
            <w:r w:rsidRPr="00613F02">
              <w:rPr>
                <w:b/>
              </w:rPr>
              <w:t>Pre Transplant</w:t>
            </w:r>
            <w:proofErr w:type="gramEnd"/>
          </w:p>
        </w:tc>
        <w:tc>
          <w:tcPr>
            <w:tcW w:w="2361" w:type="dxa"/>
          </w:tcPr>
          <w:p w:rsidR="00971C7B" w:rsidRPr="00613F02" w:rsidRDefault="00971C7B" w:rsidP="00613F02">
            <w:pPr>
              <w:jc w:val="center"/>
              <w:rPr>
                <w:b/>
              </w:rPr>
            </w:pPr>
            <w:proofErr w:type="spellStart"/>
            <w:r w:rsidRPr="00613F02">
              <w:rPr>
                <w:b/>
              </w:rPr>
              <w:t>Post Transplant</w:t>
            </w:r>
            <w:proofErr w:type="spellEnd"/>
          </w:p>
        </w:tc>
      </w:tr>
      <w:tr w:rsidR="00971C7B" w:rsidTr="004A3D97">
        <w:tc>
          <w:tcPr>
            <w:tcW w:w="1535" w:type="dxa"/>
          </w:tcPr>
          <w:p w:rsidR="00971C7B" w:rsidRPr="00613F02" w:rsidRDefault="00971C7B">
            <w:pPr>
              <w:rPr>
                <w:b/>
              </w:rPr>
            </w:pPr>
            <w:r w:rsidRPr="00613F02">
              <w:rPr>
                <w:b/>
              </w:rPr>
              <w:t>Hepatitis A</w:t>
            </w:r>
          </w:p>
        </w:tc>
        <w:tc>
          <w:tcPr>
            <w:tcW w:w="5840" w:type="dxa"/>
          </w:tcPr>
          <w:p w:rsidR="00971C7B" w:rsidRDefault="00971C7B">
            <w:r>
              <w:t>One dose at 0 months and 6 months</w:t>
            </w:r>
          </w:p>
          <w:p w:rsidR="00971C7B" w:rsidRDefault="00971C7B">
            <w:r>
              <w:t>Recheck titer 60 days after last dose</w:t>
            </w:r>
          </w:p>
        </w:tc>
        <w:tc>
          <w:tcPr>
            <w:tcW w:w="2361" w:type="dxa"/>
          </w:tcPr>
          <w:p w:rsidR="00971C7B" w:rsidRDefault="00971C7B">
            <w:r>
              <w:t>Begin series</w:t>
            </w:r>
            <w:r w:rsidR="00044BBC">
              <w:t xml:space="preserve"> 6 months </w:t>
            </w:r>
            <w:proofErr w:type="spellStart"/>
            <w:r>
              <w:t>post transplant</w:t>
            </w:r>
            <w:proofErr w:type="spellEnd"/>
            <w:r w:rsidR="00044BBC">
              <w:t>,</w:t>
            </w:r>
            <w:r>
              <w:t xml:space="preserve"> if not completed prior</w:t>
            </w:r>
          </w:p>
        </w:tc>
      </w:tr>
      <w:tr w:rsidR="00971C7B" w:rsidTr="004A3D97">
        <w:tc>
          <w:tcPr>
            <w:tcW w:w="1535" w:type="dxa"/>
          </w:tcPr>
          <w:p w:rsidR="004A3D97" w:rsidRDefault="00971C7B">
            <w:pPr>
              <w:rPr>
                <w:b/>
              </w:rPr>
            </w:pPr>
            <w:r w:rsidRPr="00613F02">
              <w:rPr>
                <w:b/>
              </w:rPr>
              <w:t>Hep B (Core antibody, surface antibody/</w:t>
            </w:r>
          </w:p>
          <w:p w:rsidR="00971C7B" w:rsidRPr="00613F02" w:rsidRDefault="00971C7B">
            <w:pPr>
              <w:rPr>
                <w:b/>
              </w:rPr>
            </w:pPr>
            <w:r w:rsidRPr="00613F02">
              <w:rPr>
                <w:b/>
              </w:rPr>
              <w:t>antigen)</w:t>
            </w:r>
          </w:p>
        </w:tc>
        <w:tc>
          <w:tcPr>
            <w:tcW w:w="5840" w:type="dxa"/>
          </w:tcPr>
          <w:p w:rsidR="00971C7B" w:rsidRDefault="00971C7B">
            <w:r>
              <w:t>If Hep B core, surface antibody/antigen negative, begin HBV series</w:t>
            </w:r>
          </w:p>
          <w:p w:rsidR="00971C7B" w:rsidRDefault="00971C7B" w:rsidP="00971C7B">
            <w:pPr>
              <w:pStyle w:val="ListParagraph"/>
              <w:numPr>
                <w:ilvl w:val="0"/>
                <w:numId w:val="1"/>
              </w:numPr>
            </w:pPr>
            <w:r>
              <w:t>One dose of 40mcg/mL at 0,1,6 months</w:t>
            </w:r>
          </w:p>
          <w:p w:rsidR="00971C7B" w:rsidRDefault="00971C7B" w:rsidP="00971C7B">
            <w:pPr>
              <w:pStyle w:val="ListParagraph"/>
              <w:numPr>
                <w:ilvl w:val="0"/>
                <w:numId w:val="1"/>
              </w:numPr>
            </w:pPr>
            <w:r>
              <w:t>Recheck titer 60 days after last dose</w:t>
            </w:r>
          </w:p>
          <w:p w:rsidR="00971C7B" w:rsidRDefault="007306F7" w:rsidP="00971C7B">
            <w:pPr>
              <w:pStyle w:val="ListParagraph"/>
              <w:numPr>
                <w:ilvl w:val="0"/>
                <w:numId w:val="1"/>
              </w:numPr>
            </w:pPr>
            <w:r>
              <w:t>Re-administer series at double the dose of vaccine (if covered by insurance),</w:t>
            </w:r>
            <w:r w:rsidR="00971C7B">
              <w:t xml:space="preserve"> if patient does not seroconvert</w:t>
            </w:r>
            <w:r>
              <w:t xml:space="preserve"> after completion of first series</w:t>
            </w:r>
          </w:p>
        </w:tc>
        <w:tc>
          <w:tcPr>
            <w:tcW w:w="2361" w:type="dxa"/>
          </w:tcPr>
          <w:p w:rsidR="00971C7B" w:rsidRDefault="00044BBC">
            <w:r>
              <w:t xml:space="preserve">Begin series 6 months </w:t>
            </w:r>
            <w:proofErr w:type="spellStart"/>
            <w:r>
              <w:t>post transplant</w:t>
            </w:r>
            <w:proofErr w:type="spellEnd"/>
            <w:r>
              <w:t>, if not completed prior</w:t>
            </w:r>
          </w:p>
          <w:p w:rsidR="007306F7" w:rsidRDefault="007306F7" w:rsidP="007306F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Monitor </w:t>
            </w:r>
            <w:proofErr w:type="spellStart"/>
            <w:r>
              <w:t>HBsAb</w:t>
            </w:r>
            <w:proofErr w:type="spellEnd"/>
            <w:r>
              <w:t xml:space="preserve"> every 6 months, to assess ongoing immunity</w:t>
            </w:r>
          </w:p>
        </w:tc>
      </w:tr>
      <w:tr w:rsidR="00971C7B" w:rsidTr="004A3D97">
        <w:tc>
          <w:tcPr>
            <w:tcW w:w="1535" w:type="dxa"/>
          </w:tcPr>
          <w:p w:rsidR="00971C7B" w:rsidRPr="00613F02" w:rsidRDefault="00971C7B">
            <w:pPr>
              <w:rPr>
                <w:b/>
              </w:rPr>
            </w:pPr>
            <w:r w:rsidRPr="00613F02">
              <w:rPr>
                <w:b/>
              </w:rPr>
              <w:t>Human papilloma virus</w:t>
            </w:r>
          </w:p>
        </w:tc>
        <w:tc>
          <w:tcPr>
            <w:tcW w:w="5840" w:type="dxa"/>
          </w:tcPr>
          <w:p w:rsidR="00971C7B" w:rsidRDefault="00971C7B">
            <w:r>
              <w:t xml:space="preserve">Until age 26 (female and male): One dose at </w:t>
            </w:r>
            <w:proofErr w:type="gramStart"/>
            <w:r>
              <w:t>0 ,</w:t>
            </w:r>
            <w:proofErr w:type="gramEnd"/>
            <w:r>
              <w:t xml:space="preserve"> 1-2, and 6 months</w:t>
            </w:r>
          </w:p>
        </w:tc>
        <w:tc>
          <w:tcPr>
            <w:tcW w:w="2361" w:type="dxa"/>
          </w:tcPr>
          <w:p w:rsidR="00971C7B" w:rsidRDefault="00044BBC">
            <w:r>
              <w:t xml:space="preserve">Begin series 6 months </w:t>
            </w:r>
            <w:proofErr w:type="spellStart"/>
            <w:r>
              <w:t>post transplant</w:t>
            </w:r>
            <w:proofErr w:type="spellEnd"/>
            <w:r>
              <w:t>, if not completed prior</w:t>
            </w:r>
          </w:p>
        </w:tc>
      </w:tr>
      <w:tr w:rsidR="00971C7B" w:rsidTr="004A3D97">
        <w:tc>
          <w:tcPr>
            <w:tcW w:w="1535" w:type="dxa"/>
          </w:tcPr>
          <w:p w:rsidR="00971C7B" w:rsidRPr="00613F02" w:rsidRDefault="00971C7B">
            <w:pPr>
              <w:rPr>
                <w:b/>
              </w:rPr>
            </w:pPr>
            <w:r w:rsidRPr="00613F02">
              <w:rPr>
                <w:b/>
              </w:rPr>
              <w:t>Herpes zoster</w:t>
            </w:r>
          </w:p>
        </w:tc>
        <w:tc>
          <w:tcPr>
            <w:tcW w:w="5840" w:type="dxa"/>
          </w:tcPr>
          <w:p w:rsidR="00971C7B" w:rsidRDefault="00971C7B">
            <w:r>
              <w:t>Recombinant adjuvanted zoster vaccine (</w:t>
            </w:r>
            <w:r w:rsidR="00045A7A">
              <w:t xml:space="preserve">RZV, </w:t>
            </w:r>
            <w:proofErr w:type="spellStart"/>
            <w:r>
              <w:t>Shingrix</w:t>
            </w:r>
            <w:proofErr w:type="spellEnd"/>
            <w:r>
              <w:t>) dose at 0 months, then 2-6 months later (2 doses total) for adults &gt;50 regardless of past episodes of herpes zoster or recipient of live zoster vaccine=</w:t>
            </w:r>
          </w:p>
        </w:tc>
        <w:tc>
          <w:tcPr>
            <w:tcW w:w="2361" w:type="dxa"/>
          </w:tcPr>
          <w:p w:rsidR="00971C7B" w:rsidRDefault="00044BBC">
            <w:r>
              <w:t xml:space="preserve">Begin series 6 months </w:t>
            </w:r>
            <w:proofErr w:type="spellStart"/>
            <w:r>
              <w:t>post transplant</w:t>
            </w:r>
            <w:proofErr w:type="spellEnd"/>
            <w:r>
              <w:t>, if not completed prior</w:t>
            </w:r>
          </w:p>
        </w:tc>
      </w:tr>
      <w:tr w:rsidR="00971C7B" w:rsidTr="004A3D97">
        <w:tc>
          <w:tcPr>
            <w:tcW w:w="1535" w:type="dxa"/>
          </w:tcPr>
          <w:p w:rsidR="00971C7B" w:rsidRPr="00613F02" w:rsidRDefault="00971C7B">
            <w:pPr>
              <w:rPr>
                <w:b/>
              </w:rPr>
            </w:pPr>
            <w:r w:rsidRPr="00613F02">
              <w:rPr>
                <w:b/>
              </w:rPr>
              <w:t>Influenza</w:t>
            </w:r>
          </w:p>
        </w:tc>
        <w:tc>
          <w:tcPr>
            <w:tcW w:w="5840" w:type="dxa"/>
          </w:tcPr>
          <w:p w:rsidR="00971C7B" w:rsidRDefault="00971C7B">
            <w:r>
              <w:t>Annual</w:t>
            </w:r>
            <w:r w:rsidR="00A433A2">
              <w:t>ly give</w:t>
            </w:r>
            <w:r>
              <w:t xml:space="preserve"> inactivated </w:t>
            </w:r>
            <w:r w:rsidR="00A433A2">
              <w:t xml:space="preserve">influenza </w:t>
            </w:r>
            <w:r>
              <w:t>vaccine</w:t>
            </w:r>
            <w:r w:rsidR="00A433A2">
              <w:t xml:space="preserve"> (IIV) or recombinant influenza vaccine (RIV) </w:t>
            </w:r>
          </w:p>
        </w:tc>
        <w:tc>
          <w:tcPr>
            <w:tcW w:w="2361" w:type="dxa"/>
          </w:tcPr>
          <w:p w:rsidR="00971C7B" w:rsidRDefault="00971C7B">
            <w:r>
              <w:t xml:space="preserve">Inactivated vaccine MAY be administered despite intensive immunosuppression (in immediate </w:t>
            </w:r>
            <w:proofErr w:type="spellStart"/>
            <w:r>
              <w:t>post transplant</w:t>
            </w:r>
            <w:proofErr w:type="spellEnd"/>
            <w:r>
              <w:t xml:space="preserve"> period) particularly in an outbreak situation</w:t>
            </w:r>
          </w:p>
          <w:p w:rsidR="004A3D97" w:rsidRPr="004A3D97" w:rsidRDefault="004A3D97" w:rsidP="004A3D97">
            <w:pPr>
              <w:pStyle w:val="ListParagraph"/>
              <w:numPr>
                <w:ilvl w:val="0"/>
                <w:numId w:val="4"/>
              </w:numPr>
              <w:ind w:left="360"/>
              <w:rPr>
                <w:i/>
              </w:rPr>
            </w:pPr>
            <w:r w:rsidRPr="004A3D97">
              <w:rPr>
                <w:i/>
              </w:rPr>
              <w:t>High dose vaccine preferred, if covered by insurance</w:t>
            </w:r>
          </w:p>
        </w:tc>
      </w:tr>
      <w:tr w:rsidR="00971C7B" w:rsidTr="004A3D97">
        <w:tc>
          <w:tcPr>
            <w:tcW w:w="1535" w:type="dxa"/>
          </w:tcPr>
          <w:p w:rsidR="00971C7B" w:rsidRPr="00613F02" w:rsidRDefault="00971C7B">
            <w:pPr>
              <w:rPr>
                <w:b/>
              </w:rPr>
            </w:pPr>
            <w:r w:rsidRPr="00613F02">
              <w:rPr>
                <w:b/>
              </w:rPr>
              <w:t xml:space="preserve">Measles, mumps, </w:t>
            </w:r>
            <w:r w:rsidRPr="00613F02">
              <w:rPr>
                <w:b/>
              </w:rPr>
              <w:lastRenderedPageBreak/>
              <w:t>rubella, rubeola IgG</w:t>
            </w:r>
          </w:p>
          <w:p w:rsidR="00A433A2" w:rsidRPr="00613F02" w:rsidRDefault="00A433A2">
            <w:pPr>
              <w:rPr>
                <w:b/>
              </w:rPr>
            </w:pPr>
            <w:r w:rsidRPr="00613F02">
              <w:rPr>
                <w:b/>
              </w:rPr>
              <w:t xml:space="preserve">*Patients born before 1957 presumed immune to measles </w:t>
            </w:r>
          </w:p>
        </w:tc>
        <w:tc>
          <w:tcPr>
            <w:tcW w:w="5840" w:type="dxa"/>
          </w:tcPr>
          <w:p w:rsidR="00971C7B" w:rsidRDefault="00971C7B">
            <w:r>
              <w:lastRenderedPageBreak/>
              <w:t xml:space="preserve">1 dose MMR if no immunity detected. </w:t>
            </w:r>
          </w:p>
          <w:p w:rsidR="00971C7B" w:rsidRDefault="00971C7B" w:rsidP="00971C7B">
            <w:pPr>
              <w:pStyle w:val="ListParagraph"/>
              <w:numPr>
                <w:ilvl w:val="0"/>
                <w:numId w:val="2"/>
              </w:numPr>
            </w:pPr>
            <w:r>
              <w:t>Give &gt;60 days before transplant</w:t>
            </w:r>
          </w:p>
          <w:p w:rsidR="00971C7B" w:rsidRDefault="00971C7B" w:rsidP="00971C7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Contraindicated less than 30 days before transplant</w:t>
            </w:r>
          </w:p>
          <w:p w:rsidR="00971C7B" w:rsidRDefault="00971C7B" w:rsidP="00971C7B">
            <w:pPr>
              <w:pStyle w:val="ListParagraph"/>
              <w:numPr>
                <w:ilvl w:val="0"/>
                <w:numId w:val="2"/>
              </w:numPr>
            </w:pPr>
            <w:r>
              <w:t xml:space="preserve">RECHECK titer 3 months after MMR dose </w:t>
            </w:r>
          </w:p>
        </w:tc>
        <w:tc>
          <w:tcPr>
            <w:tcW w:w="2361" w:type="dxa"/>
          </w:tcPr>
          <w:p w:rsidR="00971C7B" w:rsidRDefault="00044BBC">
            <w:r>
              <w:lastRenderedPageBreak/>
              <w:t>Contraindicated (live vaccine)</w:t>
            </w:r>
          </w:p>
        </w:tc>
      </w:tr>
      <w:tr w:rsidR="00971C7B" w:rsidTr="004A3D97">
        <w:tc>
          <w:tcPr>
            <w:tcW w:w="1535" w:type="dxa"/>
          </w:tcPr>
          <w:p w:rsidR="00971C7B" w:rsidRPr="00613F02" w:rsidRDefault="00971C7B">
            <w:pPr>
              <w:rPr>
                <w:b/>
              </w:rPr>
            </w:pPr>
            <w:r w:rsidRPr="00613F02">
              <w:rPr>
                <w:b/>
              </w:rPr>
              <w:t>Pneumococcal</w:t>
            </w:r>
          </w:p>
        </w:tc>
        <w:tc>
          <w:tcPr>
            <w:tcW w:w="5840" w:type="dxa"/>
          </w:tcPr>
          <w:p w:rsidR="00971C7B" w:rsidRDefault="00971C7B">
            <w:r w:rsidRPr="00045A7A">
              <w:rPr>
                <w:b/>
              </w:rPr>
              <w:t xml:space="preserve">Prevnar </w:t>
            </w:r>
            <w:r w:rsidR="00613F02">
              <w:rPr>
                <w:b/>
              </w:rPr>
              <w:t xml:space="preserve">13 (PCV 13); preferred to be given </w:t>
            </w:r>
            <w:r w:rsidR="00613F02">
              <w:rPr>
                <w:b/>
                <w:i/>
              </w:rPr>
              <w:t>before Pneumovax</w:t>
            </w:r>
            <w:r w:rsidR="00613F02">
              <w:rPr>
                <w:b/>
              </w:rPr>
              <w:t>:</w:t>
            </w:r>
            <w:r w:rsidR="00613F02">
              <w:t xml:space="preserve"> If </w:t>
            </w:r>
            <w:r>
              <w:t xml:space="preserve">Pneumovax (PPSV23) </w:t>
            </w:r>
            <w:r w:rsidR="00613F02">
              <w:t xml:space="preserve">given first, must wait 1 year to give Prevnar 13 </w:t>
            </w:r>
          </w:p>
          <w:p w:rsidR="00971C7B" w:rsidRDefault="00971C7B">
            <w:r w:rsidRPr="00971C7B">
              <w:rPr>
                <w:b/>
              </w:rPr>
              <w:t>Pneumovax (PPSV 23)</w:t>
            </w:r>
            <w:r w:rsidR="00613F02">
              <w:rPr>
                <w:b/>
              </w:rPr>
              <w:t xml:space="preserve">; preferred to be given </w:t>
            </w:r>
            <w:r w:rsidR="00613F02" w:rsidRPr="00613F02">
              <w:rPr>
                <w:b/>
                <w:i/>
              </w:rPr>
              <w:t>after Prevnar</w:t>
            </w:r>
            <w:r w:rsidRPr="00971C7B">
              <w:rPr>
                <w:b/>
              </w:rPr>
              <w:t>:</w:t>
            </w:r>
            <w:r>
              <w:t xml:space="preserve"> Give 8 weeks after first Prevnar dose </w:t>
            </w:r>
            <w:r w:rsidRPr="00613F02">
              <w:rPr>
                <w:u w:val="single"/>
              </w:rPr>
              <w:t>OR</w:t>
            </w:r>
            <w:r>
              <w:t xml:space="preserve"> give 1 dose if &gt;5 years since last Pneumovax </w:t>
            </w:r>
          </w:p>
          <w:p w:rsidR="00045A7A" w:rsidRDefault="00045A7A"/>
          <w:p w:rsidR="00045A7A" w:rsidRDefault="001778BD">
            <w:hyperlink r:id="rId8" w:history="1">
              <w:r w:rsidR="00045A7A" w:rsidRPr="00045A7A">
                <w:rPr>
                  <w:rStyle w:val="Hyperlink"/>
                </w:rPr>
                <w:t>https://www.cdc.gov/vaccines/vpd/pneumo/downloads/pneumo-vaccine-timing.pdf</w:t>
              </w:r>
            </w:hyperlink>
          </w:p>
        </w:tc>
        <w:tc>
          <w:tcPr>
            <w:tcW w:w="2361" w:type="dxa"/>
          </w:tcPr>
          <w:p w:rsidR="00971C7B" w:rsidRDefault="00044BBC">
            <w:r>
              <w:t xml:space="preserve">Administer 6 months </w:t>
            </w:r>
            <w:proofErr w:type="spellStart"/>
            <w:r>
              <w:t>post transplant</w:t>
            </w:r>
            <w:proofErr w:type="spellEnd"/>
            <w:r>
              <w:t>, if not given prior</w:t>
            </w:r>
          </w:p>
        </w:tc>
      </w:tr>
      <w:tr w:rsidR="00971C7B" w:rsidTr="004A3D97">
        <w:tc>
          <w:tcPr>
            <w:tcW w:w="1535" w:type="dxa"/>
          </w:tcPr>
          <w:p w:rsidR="00971C7B" w:rsidRPr="00613F02" w:rsidRDefault="00971C7B">
            <w:pPr>
              <w:rPr>
                <w:b/>
              </w:rPr>
            </w:pPr>
            <w:proofErr w:type="spellStart"/>
            <w:r w:rsidRPr="00613F02">
              <w:rPr>
                <w:b/>
              </w:rPr>
              <w:t>TdaP</w:t>
            </w:r>
            <w:proofErr w:type="spellEnd"/>
          </w:p>
        </w:tc>
        <w:tc>
          <w:tcPr>
            <w:tcW w:w="5840" w:type="dxa"/>
          </w:tcPr>
          <w:p w:rsidR="00971C7B" w:rsidRPr="00971C7B" w:rsidRDefault="00971C7B">
            <w:r>
              <w:t xml:space="preserve">Substitute </w:t>
            </w:r>
            <w:proofErr w:type="gramStart"/>
            <w:r>
              <w:t>1 time</w:t>
            </w:r>
            <w:proofErr w:type="gramEnd"/>
            <w:r>
              <w:t xml:space="preserve"> dose of </w:t>
            </w:r>
            <w:proofErr w:type="spellStart"/>
            <w:r>
              <w:t>TDaP</w:t>
            </w:r>
            <w:proofErr w:type="spellEnd"/>
            <w:r>
              <w:t xml:space="preserve"> for Td booster, then Td booster every 10 years </w:t>
            </w:r>
          </w:p>
        </w:tc>
        <w:tc>
          <w:tcPr>
            <w:tcW w:w="2361" w:type="dxa"/>
          </w:tcPr>
          <w:p w:rsidR="00971C7B" w:rsidRDefault="00044BBC">
            <w:r>
              <w:t xml:space="preserve">Administer 6 months </w:t>
            </w:r>
            <w:proofErr w:type="spellStart"/>
            <w:r>
              <w:t>post transplant</w:t>
            </w:r>
            <w:proofErr w:type="spellEnd"/>
            <w:r>
              <w:t>, if not given prior</w:t>
            </w:r>
          </w:p>
        </w:tc>
      </w:tr>
      <w:tr w:rsidR="00A433A2" w:rsidTr="004A3D97">
        <w:trPr>
          <w:trHeight w:val="602"/>
        </w:trPr>
        <w:tc>
          <w:tcPr>
            <w:tcW w:w="1535" w:type="dxa"/>
          </w:tcPr>
          <w:p w:rsidR="00A433A2" w:rsidRPr="00613F02" w:rsidRDefault="00A433A2">
            <w:pPr>
              <w:rPr>
                <w:b/>
              </w:rPr>
            </w:pPr>
            <w:r w:rsidRPr="00613F02">
              <w:rPr>
                <w:b/>
              </w:rPr>
              <w:t>Varicella</w:t>
            </w:r>
          </w:p>
        </w:tc>
        <w:tc>
          <w:tcPr>
            <w:tcW w:w="5840" w:type="dxa"/>
          </w:tcPr>
          <w:p w:rsidR="00A433A2" w:rsidRDefault="00A433A2">
            <w:r>
              <w:t xml:space="preserve">If VZV IgG negative, consider </w:t>
            </w:r>
            <w:r w:rsidR="00045A7A">
              <w:t xml:space="preserve">varicella vaccine 2 doses 4-8 weeks apart </w:t>
            </w:r>
            <w:r w:rsidR="00045A7A" w:rsidRPr="00275204">
              <w:rPr>
                <w:u w:val="single"/>
              </w:rPr>
              <w:t>IF</w:t>
            </w:r>
            <w:r w:rsidR="00045A7A">
              <w:t xml:space="preserve"> transplant not anticipated within 4 weeks</w:t>
            </w:r>
          </w:p>
        </w:tc>
        <w:tc>
          <w:tcPr>
            <w:tcW w:w="2361" w:type="dxa"/>
          </w:tcPr>
          <w:p w:rsidR="00A433A2" w:rsidRDefault="00045A7A">
            <w:r>
              <w:t xml:space="preserve">Contraindicated </w:t>
            </w:r>
            <w:r w:rsidR="00044BBC">
              <w:t>(live vaccine)</w:t>
            </w:r>
          </w:p>
        </w:tc>
      </w:tr>
    </w:tbl>
    <w:p w:rsidR="00971C7B" w:rsidRDefault="00971C7B"/>
    <w:p w:rsidR="00971C7B" w:rsidRPr="00A433A2" w:rsidRDefault="00971C7B">
      <w:pPr>
        <w:rPr>
          <w:b/>
        </w:rPr>
      </w:pPr>
    </w:p>
    <w:p w:rsidR="00971C7B" w:rsidRPr="00A433A2" w:rsidRDefault="00971C7B">
      <w:pPr>
        <w:rPr>
          <w:b/>
        </w:rPr>
      </w:pPr>
      <w:r w:rsidRPr="00A433A2">
        <w:rPr>
          <w:b/>
        </w:rPr>
        <w:t xml:space="preserve">References: </w:t>
      </w:r>
    </w:p>
    <w:p w:rsidR="00971C7B" w:rsidRPr="00A433A2" w:rsidRDefault="00971C7B">
      <w:r w:rsidRPr="00A433A2">
        <w:t>CDC Recommended Immunization Schedule for Adults Aged 19 and older, United States 2018</w:t>
      </w:r>
    </w:p>
    <w:p w:rsidR="00971C7B" w:rsidRPr="00A433A2" w:rsidRDefault="00971C7B">
      <w:r w:rsidRPr="00A433A2">
        <w:t xml:space="preserve">Retrieved from </w:t>
      </w:r>
      <w:hyperlink r:id="rId9" w:history="1">
        <w:r w:rsidRPr="00A433A2">
          <w:rPr>
            <w:rStyle w:val="Hyperlink"/>
          </w:rPr>
          <w:t>https://www.cdc.gov/vaccines/schedules/hcp/adult.html</w:t>
        </w:r>
      </w:hyperlink>
    </w:p>
    <w:p w:rsidR="00971C7B" w:rsidRPr="00A433A2" w:rsidRDefault="00275204">
      <w:r w:rsidRPr="00275204">
        <w:t>Danziger-</w:t>
      </w:r>
      <w:proofErr w:type="spellStart"/>
      <w:r w:rsidRPr="00275204">
        <w:t>isakov</w:t>
      </w:r>
      <w:proofErr w:type="spellEnd"/>
      <w:r w:rsidRPr="00275204">
        <w:t xml:space="preserve"> L, Kumar D. Vaccination in solid organ transplantation. </w:t>
      </w:r>
      <w:r w:rsidRPr="00275204">
        <w:rPr>
          <w:i/>
        </w:rPr>
        <w:t>Am J Transplant</w:t>
      </w:r>
      <w:r w:rsidRPr="00275204">
        <w:t xml:space="preserve">. 2013;13 </w:t>
      </w:r>
      <w:proofErr w:type="spellStart"/>
      <w:r w:rsidRPr="00275204">
        <w:t>Suppl</w:t>
      </w:r>
      <w:proofErr w:type="spellEnd"/>
      <w:r w:rsidRPr="00275204">
        <w:t xml:space="preserve"> 4:311-7.</w:t>
      </w:r>
    </w:p>
    <w:p w:rsidR="00A433A2" w:rsidRPr="00A433A2" w:rsidRDefault="00A433A2" w:rsidP="00A433A2">
      <w:pPr>
        <w:pStyle w:val="Heading1"/>
        <w:shd w:val="clear" w:color="auto" w:fill="FFFFFF"/>
        <w:textAlignment w:val="baseline"/>
        <w:rPr>
          <w:rFonts w:asciiTheme="minorHAnsi" w:hAnsiTheme="minorHAnsi"/>
          <w:b w:val="0"/>
          <w:color w:val="2A2A2A"/>
          <w:sz w:val="22"/>
          <w:szCs w:val="22"/>
        </w:rPr>
      </w:pPr>
      <w:bookmarkStart w:id="0" w:name="_GoBack"/>
      <w:bookmarkEnd w:id="0"/>
      <w:r w:rsidRPr="00A433A2">
        <w:rPr>
          <w:rFonts w:asciiTheme="minorHAnsi" w:hAnsiTheme="minorHAnsi"/>
          <w:b w:val="0"/>
          <w:sz w:val="22"/>
          <w:szCs w:val="22"/>
        </w:rPr>
        <w:t xml:space="preserve">Rubin LG et al. </w:t>
      </w:r>
      <w:r w:rsidRPr="00A433A2">
        <w:rPr>
          <w:rFonts w:asciiTheme="minorHAnsi" w:hAnsiTheme="minorHAnsi"/>
          <w:b w:val="0"/>
          <w:color w:val="2A2A2A"/>
          <w:sz w:val="22"/>
          <w:szCs w:val="22"/>
        </w:rPr>
        <w:t xml:space="preserve">2013 IDSA Clinical Practice Guideline for Vaccination of the Immunocompromised Host. </w:t>
      </w:r>
      <w:r w:rsidRPr="00A433A2">
        <w:rPr>
          <w:rStyle w:val="Emphasis"/>
          <w:rFonts w:asciiTheme="minorHAnsi" w:hAnsiTheme="minorHAnsi" w:cs="Arial"/>
          <w:b w:val="0"/>
          <w:color w:val="2A2A2A"/>
          <w:sz w:val="22"/>
          <w:szCs w:val="22"/>
          <w:bdr w:val="none" w:sz="0" w:space="0" w:color="auto" w:frame="1"/>
          <w:shd w:val="clear" w:color="auto" w:fill="FFFFFF"/>
        </w:rPr>
        <w:t>Clinical Infectious Diseases</w:t>
      </w:r>
      <w:r w:rsidRPr="00A433A2">
        <w:rPr>
          <w:rFonts w:asciiTheme="minorHAnsi" w:hAnsiTheme="minorHAnsi" w:cs="Arial"/>
          <w:b w:val="0"/>
          <w:color w:val="2A2A2A"/>
          <w:sz w:val="22"/>
          <w:szCs w:val="22"/>
          <w:shd w:val="clear" w:color="auto" w:fill="FFFFFF"/>
        </w:rPr>
        <w:t>, Volume 58, Issue 3, 1 February 2014, Pages e44–e100, </w:t>
      </w:r>
      <w:hyperlink r:id="rId10" w:history="1">
        <w:r w:rsidRPr="00A433A2">
          <w:rPr>
            <w:rStyle w:val="Hyperlink"/>
            <w:rFonts w:asciiTheme="minorHAnsi" w:hAnsiTheme="minorHAnsi" w:cs="Arial"/>
            <w:b w:val="0"/>
            <w:color w:val="006FB7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https://doi.org/10.1093/cid/cit684</w:t>
        </w:r>
      </w:hyperlink>
    </w:p>
    <w:p w:rsidR="00971C7B" w:rsidRDefault="00971C7B">
      <w:r>
        <w:t xml:space="preserve"> </w:t>
      </w:r>
    </w:p>
    <w:sectPr w:rsidR="00971C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E69" w:rsidRDefault="005B1E69" w:rsidP="00DB4ADB">
      <w:pPr>
        <w:spacing w:after="0" w:line="240" w:lineRule="auto"/>
      </w:pPr>
      <w:r>
        <w:separator/>
      </w:r>
    </w:p>
  </w:endnote>
  <w:endnote w:type="continuationSeparator" w:id="0">
    <w:p w:rsidR="005B1E69" w:rsidRDefault="005B1E69" w:rsidP="00DB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DB" w:rsidRDefault="00DB4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DB" w:rsidRPr="004A64CD" w:rsidRDefault="00DB4ADB" w:rsidP="00DB4ADB">
    <w:pPr>
      <w:pStyle w:val="Footer"/>
      <w:jc w:val="right"/>
      <w:rPr>
        <w:i/>
        <w:sz w:val="18"/>
      </w:rPr>
    </w:pPr>
    <w:r w:rsidRPr="004A64CD">
      <w:rPr>
        <w:i/>
        <w:sz w:val="18"/>
      </w:rPr>
      <w:t>Last updated 10/</w:t>
    </w:r>
    <w:r>
      <w:rPr>
        <w:i/>
        <w:sz w:val="18"/>
      </w:rPr>
      <w:t>16</w:t>
    </w:r>
    <w:r w:rsidRPr="004A64CD">
      <w:rPr>
        <w:i/>
        <w:sz w:val="18"/>
      </w:rPr>
      <w:t>/18</w:t>
    </w:r>
  </w:p>
  <w:p w:rsidR="00DB4ADB" w:rsidRDefault="00DB4ADB" w:rsidP="00DB4ADB">
    <w:pPr>
      <w:pStyle w:val="Footer"/>
      <w:jc w:val="right"/>
      <w:rPr>
        <w:i/>
        <w:sz w:val="18"/>
      </w:rPr>
    </w:pPr>
    <w:r>
      <w:rPr>
        <w:i/>
        <w:sz w:val="18"/>
      </w:rPr>
      <w:t>Laura Wicks, PharmD, BCPS</w:t>
    </w:r>
  </w:p>
  <w:p w:rsidR="00DB4ADB" w:rsidRDefault="00DB4ADB" w:rsidP="00DB4ADB">
    <w:pPr>
      <w:pStyle w:val="Footer"/>
      <w:jc w:val="right"/>
      <w:rPr>
        <w:i/>
        <w:sz w:val="18"/>
      </w:rPr>
    </w:pPr>
    <w:r w:rsidRPr="004A64CD">
      <w:rPr>
        <w:i/>
        <w:sz w:val="18"/>
      </w:rPr>
      <w:t>Samantha Kush, PharmD, BCPS</w:t>
    </w:r>
  </w:p>
  <w:p w:rsidR="00DB4ADB" w:rsidRPr="004A64CD" w:rsidRDefault="00DB4ADB" w:rsidP="00DB4ADB">
    <w:pPr>
      <w:pStyle w:val="Footer"/>
      <w:jc w:val="right"/>
      <w:rPr>
        <w:i/>
        <w:sz w:val="18"/>
      </w:rPr>
    </w:pPr>
  </w:p>
  <w:p w:rsidR="00DB4ADB" w:rsidRDefault="00DB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DB" w:rsidRDefault="00DB4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E69" w:rsidRDefault="005B1E69" w:rsidP="00DB4ADB">
      <w:pPr>
        <w:spacing w:after="0" w:line="240" w:lineRule="auto"/>
      </w:pPr>
      <w:r>
        <w:separator/>
      </w:r>
    </w:p>
  </w:footnote>
  <w:footnote w:type="continuationSeparator" w:id="0">
    <w:p w:rsidR="005B1E69" w:rsidRDefault="005B1E69" w:rsidP="00DB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DB" w:rsidRDefault="00DB4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DB" w:rsidRDefault="00DB4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DB" w:rsidRDefault="00DB4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D93"/>
    <w:multiLevelType w:val="hybridMultilevel"/>
    <w:tmpl w:val="3E4C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17B2D"/>
    <w:multiLevelType w:val="hybridMultilevel"/>
    <w:tmpl w:val="5C06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E0E5A"/>
    <w:multiLevelType w:val="hybridMultilevel"/>
    <w:tmpl w:val="ADDC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34D3"/>
    <w:multiLevelType w:val="hybridMultilevel"/>
    <w:tmpl w:val="0C90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7B"/>
    <w:rsid w:val="00044BBC"/>
    <w:rsid w:val="00045A7A"/>
    <w:rsid w:val="001778BD"/>
    <w:rsid w:val="00275204"/>
    <w:rsid w:val="004A3D97"/>
    <w:rsid w:val="005B1E69"/>
    <w:rsid w:val="00613F02"/>
    <w:rsid w:val="007306F7"/>
    <w:rsid w:val="00971C7B"/>
    <w:rsid w:val="009F0851"/>
    <w:rsid w:val="00A433A2"/>
    <w:rsid w:val="00C35B85"/>
    <w:rsid w:val="00D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F045"/>
  <w15:chartTrackingRefBased/>
  <w15:docId w15:val="{6C1DFA7D-1A06-485A-92D5-E40D371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3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C7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43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433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ADB"/>
  </w:style>
  <w:style w:type="paragraph" w:styleId="Footer">
    <w:name w:val="footer"/>
    <w:basedOn w:val="Normal"/>
    <w:link w:val="FooterChar"/>
    <w:uiPriority w:val="99"/>
    <w:unhideWhenUsed/>
    <w:rsid w:val="00DB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vpd/pneumo/downloads/pneumo-vaccine-timing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i.org/10.1093/cid/cit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schedules/hcp/adult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7DCE-8C0D-41F4-8DF3-D795949C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Wicks, Laura M</dc:creator>
  <cp:keywords/>
  <dc:description/>
  <cp:lastModifiedBy>Wicks, Laura M</cp:lastModifiedBy>
  <cp:revision>2</cp:revision>
  <cp:lastPrinted>2018-10-09T23:04:00Z</cp:lastPrinted>
  <dcterms:created xsi:type="dcterms:W3CDTF">2018-10-23T18:30:00Z</dcterms:created>
  <dcterms:modified xsi:type="dcterms:W3CDTF">2018-10-23T18:30:00Z</dcterms:modified>
</cp:coreProperties>
</file>